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00" w:right="1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-167005</wp:posOffset>
            </wp:positionV>
            <wp:extent cx="107950" cy="1079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-433705</wp:posOffset>
            </wp:positionV>
            <wp:extent cx="107950" cy="1079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5920" w:type="dxa"/>
            <w:vAlign w:val="bottom"/>
          </w:tcPr>
          <w:p>
            <w:pPr>
              <w:jc w:val="center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920" w:type="dxa"/>
            <w:vAlign w:val="bottom"/>
            <w:vMerge w:val="restart"/>
          </w:tcPr>
          <w:p>
            <w:pPr>
              <w:jc w:val="center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20" w:type="dxa"/>
            <w:vAlign w:val="bottom"/>
            <w:vMerge w:val="restart"/>
          </w:tcPr>
          <w:p>
            <w:pPr>
              <w:jc w:val="center"/>
              <w:ind w:right="547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5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20" w:type="dxa"/>
            <w:vAlign w:val="bottom"/>
            <w:vMerge w:val="restart"/>
          </w:tcPr>
          <w:p>
            <w:pPr>
              <w:jc w:val="center"/>
              <w:ind w:righ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5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5041265</wp:posOffset>
            </wp:positionH>
            <wp:positionV relativeFrom="paragraph">
              <wp:posOffset>-550545</wp:posOffset>
            </wp:positionV>
            <wp:extent cx="53975" cy="5638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3749040</wp:posOffset>
            </wp:positionH>
            <wp:positionV relativeFrom="paragraph">
              <wp:posOffset>-550545</wp:posOffset>
            </wp:positionV>
            <wp:extent cx="53975" cy="563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-1885315</wp:posOffset>
            </wp:positionH>
            <wp:positionV relativeFrom="paragraph">
              <wp:posOffset>581025</wp:posOffset>
            </wp:positionV>
            <wp:extent cx="7009765" cy="3557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65" cy="355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640"/>
            <w:col w:w="8040"/>
          </w:cols>
          <w:pgMar w:left="460" w:top="207" w:right="4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Ticker or Trading Symbol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5. Relationship of Reporting Person(s) to Issuer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  <w:w w:val="97"/>
                </w:rPr>
                <w:t>Tayon James Earl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ind w:left="60"/>
              <w:spacing w:after="0" w:line="91" w:lineRule="exact"/>
              <w:rPr>
                <w:rFonts w:ascii="Times New Roman" w:cs="Times New Roman" w:eastAsia="Times New Roman" w:hAnsi="Times New Roman"/>
                <w:sz w:val="10"/>
                <w:szCs w:val="1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0"/>
                  <w:szCs w:val="10"/>
                  <w:color w:val="0000EE"/>
                </w:rPr>
                <w:t xml:space="preserve">American Outdoor Brands, Inc. </w:t>
              </w:r>
            </w:hyperlink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AOUT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3. Date of Earliest Transaction 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Chief Product Officer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1800 N ROUTE Z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05/01/2025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COLUMBIA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65202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One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(City)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(State)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gridSpan w:val="16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630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11.03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45,534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80" w:type="dxa"/>
            <w:vAlign w:val="bottom"/>
            <w:gridSpan w:val="12"/>
          </w:tcPr>
          <w:p>
            <w:pPr>
              <w:jc w:val="center"/>
              <w:ind w:lef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6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Represents shares of common stock withheld by the Issuer to satisfy certain tax withholding obligations associated with the vesting of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Includes 180 and 182 shares acquired under the Issuer's Employee Stock Purchase Plan on September 30, 2024 and March 31, 2025, respectively.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/s/ Seth A. Christensen, as Attorney- </w:t>
      </w:r>
      <w: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  <w:t>05/05/2025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-22860</wp:posOffset>
            </wp:positionV>
            <wp:extent cx="1365885" cy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-18415</wp:posOffset>
            </wp:positionV>
            <wp:extent cx="264160" cy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5586095</wp:posOffset>
            </wp:positionH>
            <wp:positionV relativeFrom="paragraph">
              <wp:posOffset>-76200</wp:posOffset>
            </wp:positionV>
            <wp:extent cx="424815" cy="6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20" w:right="4440" w:firstLine="4"/>
        <w:spacing w:after="0" w:line="321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318770</wp:posOffset>
            </wp:positionV>
            <wp:extent cx="6929755" cy="99447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4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447675</wp:posOffset>
            </wp:positionV>
            <wp:extent cx="6929755" cy="99377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06366" TargetMode="External"/><Relationship Id="rId14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2025-05-05T19:50:03Z</dcterms:created>
  <dcterms:modified xsi:type="dcterms:W3CDTF">2025-05-05T19:50:03Z</dcterms:modified>
</cp:coreProperties>
</file>