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0" w:lineRule="exact"/>
        <w:rPr>
          <w:sz w:val="24"/>
          <w:szCs w:val="24"/>
          <w:color w:val="auto"/>
        </w:rPr>
      </w:pPr>
    </w:p>
    <w:p>
      <w:pPr>
        <w:spacing w:after="0" w:line="225"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9"/>
          <w:szCs w:val="29"/>
          <w:b w:val="1"/>
          <w:bCs w:val="1"/>
          <w:color w:val="auto"/>
        </w:rPr>
        <w:t>FORM SD</w:t>
      </w:r>
    </w:p>
    <w:p>
      <w:pPr>
        <w:spacing w:after="0" w:line="200" w:lineRule="exact"/>
        <w:rPr>
          <w:sz w:val="24"/>
          <w:szCs w:val="24"/>
          <w:color w:val="auto"/>
        </w:rPr>
      </w:pPr>
    </w:p>
    <w:p>
      <w:pPr>
        <w:spacing w:after="0" w:line="284"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6"/>
          <w:szCs w:val="16"/>
          <w:b w:val="1"/>
          <w:bCs w:val="1"/>
          <w:color w:val="auto"/>
        </w:rPr>
        <w:t>PECIALIZED</w:t>
      </w:r>
      <w:r>
        <w:rPr>
          <w:rFonts w:ascii="Times New Roman" w:cs="Times New Roman" w:eastAsia="Times New Roman" w:hAnsi="Times New Roman"/>
          <w:sz w:val="19"/>
          <w:szCs w:val="19"/>
          <w:b w:val="1"/>
          <w:bCs w:val="1"/>
          <w:color w:val="auto"/>
        </w:rPr>
        <w:t xml:space="preserve"> D</w:t>
      </w:r>
      <w:r>
        <w:rPr>
          <w:rFonts w:ascii="Times New Roman" w:cs="Times New Roman" w:eastAsia="Times New Roman" w:hAnsi="Times New Roman"/>
          <w:sz w:val="16"/>
          <w:szCs w:val="16"/>
          <w:b w:val="1"/>
          <w:bCs w:val="1"/>
          <w:color w:val="auto"/>
        </w:rPr>
        <w:t>ISCLOSURE</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6"/>
          <w:szCs w:val="16"/>
          <w:b w:val="1"/>
          <w:bCs w:val="1"/>
          <w:color w:val="auto"/>
        </w:rPr>
        <w:t>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2423160</wp:posOffset>
            </wp:positionH>
            <wp:positionV relativeFrom="paragraph">
              <wp:posOffset>154940</wp:posOffset>
            </wp:positionV>
            <wp:extent cx="2331720"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3172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38"/>
          <w:szCs w:val="38"/>
          <w:b w:val="1"/>
          <w:bCs w:val="1"/>
          <w:color w:val="auto"/>
        </w:rPr>
        <w:t>AMERICAN OUTDOOR BRANDS, INC.</w:t>
      </w:r>
    </w:p>
    <w:p>
      <w:pPr>
        <w:spacing w:after="0" w:line="72"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ectPr>
          <w:pgSz w:w="11900" w:h="16838" w:orient="portrait"/>
          <w:cols w:equalWidth="0" w:num="1">
            <w:col w:w="10520"/>
          </w:cols>
          <w:pgMar w:left="440" w:top="1370" w:right="939" w:bottom="1440" w:gutter="0" w:footer="0" w:header="0"/>
        </w:sectPr>
      </w:pPr>
    </w:p>
    <w:p>
      <w:pPr>
        <w:spacing w:after="0" w:line="200" w:lineRule="exact"/>
        <w:rPr>
          <w:sz w:val="24"/>
          <w:szCs w:val="24"/>
          <w:color w:val="auto"/>
        </w:rPr>
      </w:pPr>
    </w:p>
    <w:p>
      <w:pPr>
        <w:spacing w:after="0" w:line="251"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001-39366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84-4630928</w:t>
      </w:r>
    </w:p>
    <w:p>
      <w:pPr>
        <w:spacing w:after="0" w:line="48" w:lineRule="exact"/>
        <w:rPr>
          <w:sz w:val="24"/>
          <w:szCs w:val="24"/>
          <w:color w:val="auto"/>
        </w:rPr>
      </w:pPr>
    </w:p>
    <w:p>
      <w:pPr>
        <w:sectPr>
          <w:pgSz w:w="11900" w:h="16838" w:orient="portrait"/>
          <w:cols w:equalWidth="0" w:num="3">
            <w:col w:w="5880" w:space="720"/>
            <w:col w:w="2320" w:space="720"/>
            <w:col w:w="880"/>
          </w:cols>
          <w:pgMar w:left="440" w:top="1370" w:right="93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spacing w:after="0" w:line="36"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1"/>
          <w:szCs w:val="11"/>
          <w:b w:val="1"/>
          <w:bCs w:val="1"/>
          <w:color w:val="auto"/>
        </w:rPr>
        <w:t>(Commission</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File Number)</w:t>
      </w:r>
    </w:p>
    <w:p>
      <w:pPr>
        <w:spacing w:after="0" w:line="20" w:lineRule="exact"/>
        <w:rPr>
          <w:sz w:val="24"/>
          <w:szCs w:val="24"/>
          <w:color w:val="auto"/>
        </w:rPr>
      </w:pPr>
      <w:r>
        <w:rPr>
          <w:sz w:val="24"/>
          <w:szCs w:val="24"/>
          <w:color w:val="auto"/>
        </w:rPr>
        <w:br w:type="column"/>
      </w:r>
    </w:p>
    <w:p>
      <w:pPr>
        <w:ind w:left="52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0" w:lineRule="exact"/>
        <w:rPr>
          <w:sz w:val="24"/>
          <w:szCs w:val="24"/>
          <w:color w:val="auto"/>
        </w:rPr>
      </w:pPr>
    </w:p>
    <w:p>
      <w:pPr>
        <w:sectPr>
          <w:pgSz w:w="11900" w:h="16838" w:orient="portrait"/>
          <w:cols w:equalWidth="0" w:num="3">
            <w:col w:w="5500" w:space="720"/>
            <w:col w:w="2300" w:space="720"/>
            <w:col w:w="1280"/>
          </w:cols>
          <w:pgMar w:left="440" w:top="1370" w:right="939" w:bottom="1440" w:gutter="0" w:footer="0" w:header="0"/>
          <w:type w:val="continuous"/>
        </w:sectPr>
      </w:pPr>
    </w:p>
    <w:p>
      <w:pPr>
        <w:spacing w:after="0" w:line="21"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1800 North Route Z, Suite A</w:t>
      </w:r>
    </w:p>
    <w:p>
      <w:pPr>
        <w:spacing w:after="0" w:line="59"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Columbia, Missouri</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65202</w:t>
      </w:r>
    </w:p>
    <w:p>
      <w:pPr>
        <w:spacing w:after="0" w:line="65" w:lineRule="exact"/>
        <w:rPr>
          <w:sz w:val="24"/>
          <w:szCs w:val="24"/>
          <w:color w:val="auto"/>
        </w:rPr>
      </w:pPr>
    </w:p>
    <w:p>
      <w:pPr>
        <w:sectPr>
          <w:pgSz w:w="11900" w:h="16838" w:orient="portrait"/>
          <w:cols w:equalWidth="0" w:num="2">
            <w:col w:w="8080" w:space="720"/>
            <w:col w:w="1720"/>
          </w:cols>
          <w:pgMar w:left="440" w:top="1370" w:right="9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(Zip code)</w:t>
      </w:r>
    </w:p>
    <w:p>
      <w:pPr>
        <w:spacing w:after="0" w:line="200" w:lineRule="exact"/>
        <w:rPr>
          <w:sz w:val="24"/>
          <w:szCs w:val="24"/>
          <w:color w:val="auto"/>
        </w:rPr>
      </w:pPr>
    </w:p>
    <w:p>
      <w:pPr>
        <w:sectPr>
          <w:pgSz w:w="11900" w:h="16838" w:orient="portrait"/>
          <w:cols w:equalWidth="0" w:num="2">
            <w:col w:w="8040" w:space="720"/>
            <w:col w:w="1760"/>
          </w:cols>
          <w:pgMar w:left="440" w:top="1370" w:right="939" w:bottom="1440" w:gutter="0" w:footer="0" w:header="0"/>
          <w:type w:val="continuous"/>
        </w:sectPr>
      </w:pPr>
    </w:p>
    <w:p>
      <w:pPr>
        <w:spacing w:after="0" w:line="154"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Douglas V. Brown, Chief Counsel and Secretary – (800) 338-9585</w:t>
      </w:r>
    </w:p>
    <w:p>
      <w:pPr>
        <w:spacing w:after="0" w:line="51"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2"/>
          <w:szCs w:val="12"/>
          <w:b w:val="1"/>
          <w:bCs w:val="1"/>
          <w:color w:val="auto"/>
        </w:rPr>
        <w:t>(Name and telephone number, including area code, of the person to contact in connection with this report.)</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to indicate the rule pursuant to which this form is being filed, and provide the period to which the information in this form applies:</w:t>
      </w:r>
    </w:p>
    <w:p>
      <w:pPr>
        <w:spacing w:after="0" w:line="289" w:lineRule="exact"/>
        <w:rPr>
          <w:sz w:val="24"/>
          <w:szCs w:val="24"/>
          <w:color w:val="auto"/>
        </w:rPr>
      </w:pPr>
    </w:p>
    <w:p>
      <w:pPr>
        <w:ind w:left="1520" w:hanging="370"/>
        <w:spacing w:after="0"/>
        <w:tabs>
          <w:tab w:leader="none" w:pos="15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 13p-1 under the Securities Exchange Act (17 CFR 240.13p-1) for the reporting period from January 1 to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-83185</wp:posOffset>
            </wp:positionH>
            <wp:positionV relativeFrom="paragraph">
              <wp:posOffset>367665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440" w:top="1370" w:right="9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Conflict Minerals Disclosure</w:t>
      </w:r>
    </w:p>
    <w:p>
      <w:pPr>
        <w:spacing w:after="0" w:line="9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A copy of American Outdoor Brands, Inc. Conflict Minerals Report is filed as Exhibit 1.01 hereto and is publicly available at </w:t>
      </w:r>
      <w:r>
        <w:rPr>
          <w:rFonts w:ascii="Times New Roman" w:cs="Times New Roman" w:eastAsia="Times New Roman" w:hAnsi="Times New Roman"/>
          <w:sz w:val="18"/>
          <w:szCs w:val="18"/>
          <w:i w:val="1"/>
          <w:iCs w:val="1"/>
          <w:color w:val="auto"/>
        </w:rPr>
        <w:t>https://ir.aob.com/corporate-governance/conflict-minerals</w:t>
      </w:r>
      <w:r>
        <w:rPr>
          <w:rFonts w:ascii="Times New Roman" w:cs="Times New Roman" w:eastAsia="Times New Roman" w:hAnsi="Times New Roman"/>
          <w:sz w:val="18"/>
          <w:szCs w:val="18"/>
          <w:color w:val="auto"/>
        </w:rPr>
        <w:t>. The content of our website as referred to in this Form SD is included for general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and is not incorporated by reference into this Form SD.</w:t>
      </w:r>
    </w:p>
    <w:p>
      <w:pPr>
        <w:spacing w:after="0" w:line="18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1.01 </w:t>
      </w:r>
      <w:r>
        <w:rPr>
          <w:rFonts w:ascii="Times New Roman" w:cs="Times New Roman" w:eastAsia="Times New Roman" w:hAnsi="Times New Roman"/>
          <w:sz w:val="18"/>
          <w:szCs w:val="18"/>
          <w:u w:val="single" w:color="auto"/>
          <w:color w:val="0000FF"/>
        </w:rPr>
        <w:t>Conflict Minerals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Exhibits</w:t>
      </w:r>
    </w:p>
    <w:p>
      <w:pPr>
        <w:spacing w:after="0" w:line="9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 Conflict Minerals Report as required by Items 1.01 and 1.02 of this Form.</w:t>
      </w:r>
    </w:p>
    <w:p>
      <w:pPr>
        <w:spacing w:after="0" w:line="239" w:lineRule="exact"/>
        <w:rPr>
          <w:sz w:val="20"/>
          <w:szCs w:val="20"/>
          <w:color w:val="auto"/>
        </w:rPr>
      </w:pPr>
    </w:p>
    <w:p>
      <w:pPr>
        <w:jc w:val="center"/>
        <w:ind w:right="-19"/>
        <w:spacing w:after="0"/>
        <w:tabs>
          <w:tab w:leader="none" w:pos="160" w:val="left"/>
          <w:tab w:leader="none" w:pos="160" w:val="left"/>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w:t>
        <w:tab/>
        <w:t>*</w:t>
        <w:tab/>
        <w:t>*</w:t>
        <w:tab/>
        <w:t>*</w:t>
      </w:r>
      <w:r>
        <w:rPr>
          <w:sz w:val="20"/>
          <w:szCs w:val="20"/>
          <w:color w:val="auto"/>
        </w:rPr>
        <w:tab/>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OUTDOOR BRANDS, INC., a Delaware corporation</w:t>
      </w:r>
    </w:p>
    <w:p>
      <w:pPr>
        <w:spacing w:after="0" w:line="237" w:lineRule="exact"/>
        <w:rPr>
          <w:sz w:val="20"/>
          <w:szCs w:val="20"/>
          <w:color w:val="auto"/>
        </w:rPr>
      </w:pPr>
    </w:p>
    <w:p>
      <w:pPr>
        <w:ind w:left="940"/>
        <w:spacing w:after="0"/>
        <w:tabs>
          <w:tab w:leader="none" w:pos="1720" w:val="left"/>
          <w:tab w:leader="none" w:pos="7420" w:val="left"/>
          <w:tab w:leader="none" w:pos="8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Douglas V. Brown</w:t>
      </w:r>
      <w:r>
        <w:rPr>
          <w:sz w:val="20"/>
          <w:szCs w:val="20"/>
          <w:color w:val="auto"/>
        </w:rPr>
        <w:tab/>
      </w:r>
      <w:r>
        <w:rPr>
          <w:rFonts w:ascii="Times New Roman" w:cs="Times New Roman" w:eastAsia="Times New Roman" w:hAnsi="Times New Roman"/>
          <w:sz w:val="18"/>
          <w:szCs w:val="18"/>
          <w:color w:val="auto"/>
        </w:rPr>
        <w:t>Dated:</w:t>
        <w:tab/>
        <w:t>May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1043305</wp:posOffset>
            </wp:positionH>
            <wp:positionV relativeFrom="paragraph">
              <wp:posOffset>27305</wp:posOffset>
            </wp:positionV>
            <wp:extent cx="2914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Douglas V. Brown</w:t>
      </w:r>
    </w:p>
    <w:p>
      <w:pPr>
        <w:spacing w:after="0" w:line="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i w:val="1"/>
          <w:iCs w:val="1"/>
          <w:color w:val="auto"/>
        </w:rPr>
        <w:t>Chief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768985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40" w:top="846" w:right="479" w:bottom="1440" w:gutter="0" w:footer="0" w:header="0"/>
        </w:sectPr>
      </w:pPr>
    </w:p>
    <w:bookmarkStart w:id="2" w:name="page3"/>
    <w:bookmarkEnd w:id="2"/>
    <w:p>
      <w:pPr>
        <w:ind w:left="990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AMERICAN OUTDOOR BRANDS, INC. CONFLICT MINERALS REPORT</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REPORTING PERIOD JANUARY 1, 2023 TO DECEMBER 31, 2023</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Conflict Minerals Report for American Outdoor Brands, Inc. (“AOB,” “Company,” “we,” or “our”) is provided for the reporting period January 1, 2023 to December 31, 2023, and is presented to comply with Rule 13p-1 under the Securities Exchange Act of 1934 (the “Rule”), and the Public Statement on the Effect of the Recent Court of Appeals Decision on the Conflict Minerals Rule issued by the Director of the Division of Corporation Finance of the Securities and Exchange Commission on April 29, 2014 (the “SEC Statement”). The Rule was adopted by the Securities and Exchange Commission (the “SEC”) to implement reporting and disclosure requirements related to conflict minerals as directed by the Dodd-Frank Wall Street Reform and Consumer Protection Act (“Dodd-Frank Act”). The Rule imposes certain reporting obligations on SEC registrants whose manufactured products contain tin, tantalum, tungsten, or gold (“3TG,” also defined by the Rule as “conflict minerals”), and who have reason to believe that the products they manufacture, or contract to manufacture, contain conflict minerals that are necessary to the functionality or production of those products. If the SEC registrant has reason to believe that any conflict minerals may have originated in the Democratic Republic of the Congo or an adjoining country, or is unable to determine the country of origin of those conflict minerals, the SEC registrant is required to submit a Conflict Minerals Report to the SEC that includes a description of the measures it took to exercise due diligence on the conflict minerals’ source and chain of custody.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BACKGROUND</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AOB is a leading provider of outdoor lifestyle products and shooting sports accessories encompassing hunting, fishing, outdoor cooking, camping, shooting, and personal security and defense products for rugged outdoor enthusiasts. We conceive, design, source, and sell our products, including premium sportsman knives and tools for fishing and hunting; land management tools for hunting preparedness; harvesting products for post-hunt or post-fishing activities; outdoor cooking products; camping, survival, and emergency preparedness products; electro-optical devices, including hunting optics, firearm aiming devices, flashlights, and laser grips; and reloading, gunsmithing, and firearm cleaning supplies. Our owned brands include Caldwell</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Wheeler</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Tipton</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Frankford, Arsenal</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Lockdown</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Grilla Grills</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Hooyman</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BOG</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Crimson Trace</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Imperial</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Schrade</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Old Timer</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Uncle Henry</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BUBBA</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MEAT!</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and ust</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and we license for use in association with certain products we sell additional brands, including Smith &amp; Wesson</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Accessories, M&amp;P</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Accessories, and Thompson/Center</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Accessories.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copy of the Company’s Conflict Mineral Policy is available on our website at </w:t>
      </w:r>
      <w:r>
        <w:rPr>
          <w:rFonts w:ascii="Times New Roman" w:cs="Times New Roman" w:eastAsia="Times New Roman" w:hAnsi="Times New Roman"/>
          <w:sz w:val="18"/>
          <w:szCs w:val="18"/>
          <w:i w:val="1"/>
          <w:iCs w:val="1"/>
          <w:u w:val="single" w:color="auto"/>
          <w:color w:val="auto"/>
        </w:rPr>
        <w:t>https://ir.aob.com/corporate-governance/conflict-minerals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w:t>
      </w:r>
    </w:p>
    <w:p>
      <w:pPr>
        <w:spacing w:after="0" w:line="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Conflict Minerals Report is provided for the reporting period January 1, 2023 to December 31, 2023 in accordance with the Rule, the instructions to Form SD, and the SEC Statement. Please refer to the Rule, Form SD and Securities Exchange Release No. 34-67716 for definitions to the terms used in this Report, unless otherwise defined herein.</w:t>
      </w:r>
    </w:p>
    <w:p>
      <w:pPr>
        <w:spacing w:after="0" w:line="4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accordance with the Rule and the instructions to Form SD, AOB undertook due diligence to determine the source of origin of any necessary conflict minerals used in products it manufactures or contracts to manufacture. In conducting its due diligence, AOB implemented the Organization for Economic Co-operation and Development Due Diligence Guidance for Responsible Supply Chains of Minerals from Conflict-Affected and High-Risk Areas (including the Supplements on Tin, Tantalum and Tungsten, and the Gold Supplement) (Second Edition OECD 2013) (“OECD Guidance”), an internationally recognized due diligence framework.</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Design of Our Due Diligence Measures</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conflict minerals due diligence measures have been designed to conform with the OECD Guidance, as applicable, for tin, tantalum, tungsten, gold and downstream companies (as the term is defined in the OECD Guidance), in all material respects. The Company does not make direct purchases of raw ore or unrefined conflict minerals in the Covered Countries. We designed our due diligence measures to:</w:t>
      </w:r>
    </w:p>
    <w:p>
      <w:pPr>
        <w:spacing w:after="0" w:line="41" w:lineRule="exact"/>
        <w:rPr>
          <w:sz w:val="20"/>
          <w:szCs w:val="20"/>
          <w:color w:val="auto"/>
        </w:rPr>
      </w:pPr>
    </w:p>
    <w:p>
      <w:pPr>
        <w:ind w:left="820" w:hanging="362"/>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implement strategies to determine the presence of conflict minerals in our products;</w:t>
      </w:r>
    </w:p>
    <w:p>
      <w:pPr>
        <w:spacing w:after="0" w:line="90" w:lineRule="exact"/>
        <w:rPr>
          <w:rFonts w:ascii="Times New Roman" w:cs="Times New Roman" w:eastAsia="Times New Roman" w:hAnsi="Times New Roman"/>
          <w:sz w:val="18"/>
          <w:szCs w:val="18"/>
          <w:color w:val="auto"/>
        </w:rPr>
      </w:pPr>
    </w:p>
    <w:p>
      <w:pPr>
        <w:ind w:left="820" w:hanging="362"/>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management systems for supply chain due diligence and reporting compliance;</w:t>
      </w:r>
    </w:p>
    <w:p>
      <w:pPr>
        <w:spacing w:after="0" w:line="90" w:lineRule="exact"/>
        <w:rPr>
          <w:rFonts w:ascii="Times New Roman" w:cs="Times New Roman" w:eastAsia="Times New Roman" w:hAnsi="Times New Roman"/>
          <w:sz w:val="18"/>
          <w:szCs w:val="18"/>
          <w:color w:val="auto"/>
        </w:rPr>
      </w:pPr>
    </w:p>
    <w:p>
      <w:pPr>
        <w:ind w:left="820" w:hanging="362"/>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conflict minerals content in our supply chain;</w:t>
      </w:r>
    </w:p>
    <w:p>
      <w:pPr>
        <w:spacing w:after="0" w:line="90" w:lineRule="exact"/>
        <w:rPr>
          <w:rFonts w:ascii="Times New Roman" w:cs="Times New Roman" w:eastAsia="Times New Roman" w:hAnsi="Times New Roman"/>
          <w:sz w:val="18"/>
          <w:szCs w:val="18"/>
          <w:color w:val="auto"/>
        </w:rPr>
      </w:pPr>
    </w:p>
    <w:p>
      <w:pPr>
        <w:ind w:left="820" w:hanging="362"/>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mitigate any risk for potential non-compliance with the Rule; and</w:t>
      </w:r>
    </w:p>
    <w:p>
      <w:pPr>
        <w:spacing w:after="0" w:line="103" w:lineRule="exact"/>
        <w:rPr>
          <w:rFonts w:ascii="Times New Roman" w:cs="Times New Roman" w:eastAsia="Times New Roman" w:hAnsi="Times New Roman"/>
          <w:sz w:val="18"/>
          <w:szCs w:val="18"/>
          <w:color w:val="auto"/>
        </w:rPr>
      </w:pPr>
    </w:p>
    <w:p>
      <w:pPr>
        <w:ind w:left="820" w:hanging="362"/>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on our conflict minerals supply chain due diligence activities, as required by the Rule.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Due Diligence Measures Performed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due diligence measures for the reporting period January 1, 2023 to December 31, 2023 included the following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227330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184" w:right="399" w:bottom="1440" w:gutter="0" w:footer="0" w:header="0"/>
        </w:sectPr>
      </w:pPr>
    </w:p>
    <w:bookmarkStart w:id="3" w:name="page4"/>
    <w:bookmarkEnd w:id="3"/>
    <w:p>
      <w:pPr>
        <w:ind w:left="1040" w:hanging="582"/>
        <w:spacing w:after="0" w:line="266" w:lineRule="auto"/>
        <w:tabs>
          <w:tab w:leader="none" w:pos="8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updated our product taxonomy for the products that were subject to reporting in the 2023 reporting period, and reviewed additions with company product managers, engineers, metallurgists and supply chain personnel, to determine which products or components have the possibility of containing necessary conflict minerals.</w:t>
      </w:r>
    </w:p>
    <w:p>
      <w:pPr>
        <w:spacing w:after="0" w:line="40" w:lineRule="exact"/>
        <w:rPr>
          <w:rFonts w:ascii="Times New Roman" w:cs="Times New Roman" w:eastAsia="Times New Roman" w:hAnsi="Times New Roman"/>
          <w:sz w:val="18"/>
          <w:szCs w:val="18"/>
          <w:color w:val="auto"/>
        </w:rPr>
      </w:pPr>
    </w:p>
    <w:p>
      <w:pPr>
        <w:ind w:left="1040" w:hanging="582"/>
        <w:spacing w:after="0" w:line="266" w:lineRule="auto"/>
        <w:tabs>
          <w:tab w:leader="none" w:pos="8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surveyed any suppliers involved with products or components we determined could possibly contain necessary conflict minerals, to ascertain for each of these conflict minerals (i) whether the product or component contained necessary conflict minerals, (ii) the smelter or refiner where it was processed, (iii) its country of origin, and (iv) its mine of origin.</w:t>
      </w:r>
    </w:p>
    <w:p>
      <w:pPr>
        <w:spacing w:after="0" w:line="50" w:lineRule="exact"/>
        <w:rPr>
          <w:rFonts w:ascii="Times New Roman" w:cs="Times New Roman" w:eastAsia="Times New Roman" w:hAnsi="Times New Roman"/>
          <w:sz w:val="18"/>
          <w:szCs w:val="18"/>
          <w:color w:val="auto"/>
        </w:rPr>
      </w:pPr>
    </w:p>
    <w:p>
      <w:pPr>
        <w:ind w:left="1040" w:hanging="582"/>
        <w:spacing w:after="0" w:line="256" w:lineRule="auto"/>
        <w:tabs>
          <w:tab w:leader="none" w:pos="8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leveraged the due diligence conducted on smelters and refiners by the Responsible Minerals Initiative (the “</w:t>
      </w:r>
      <w:r>
        <w:rPr>
          <w:rFonts w:ascii="Times New Roman" w:cs="Times New Roman" w:eastAsia="Times New Roman" w:hAnsi="Times New Roman"/>
          <w:sz w:val="18"/>
          <w:szCs w:val="18"/>
          <w:b w:val="1"/>
          <w:bCs w:val="1"/>
          <w:color w:val="auto"/>
        </w:rPr>
        <w:t>RMI</w:t>
      </w:r>
      <w:r>
        <w:rPr>
          <w:rFonts w:ascii="Times New Roman" w:cs="Times New Roman" w:eastAsia="Times New Roman" w:hAnsi="Times New Roman"/>
          <w:sz w:val="18"/>
          <w:szCs w:val="18"/>
          <w:color w:val="auto"/>
        </w:rPr>
        <w:t>”), and its Responsible Minerals Assurance Process (the “</w:t>
      </w:r>
      <w:r>
        <w:rPr>
          <w:rFonts w:ascii="Times New Roman" w:cs="Times New Roman" w:eastAsia="Times New Roman" w:hAnsi="Times New Roman"/>
          <w:sz w:val="18"/>
          <w:szCs w:val="18"/>
          <w:b w:val="1"/>
          <w:bCs w:val="1"/>
          <w:color w:val="auto"/>
        </w:rPr>
        <w:t>RMAP</w:t>
      </w:r>
      <w:r>
        <w:rPr>
          <w:rFonts w:ascii="Times New Roman" w:cs="Times New Roman" w:eastAsia="Times New Roman" w:hAnsi="Times New Roman"/>
          <w:sz w:val="18"/>
          <w:szCs w:val="18"/>
          <w:color w:val="auto"/>
        </w:rPr>
        <w:t xml:space="preserve">”), by comparing the names of the smelters identified by our suppliers to those identified as compliant in the RMAP. The RMAP uses independent private sector auditors to audit the source, including mines of origin, and chain of custody of the conflict minerals used by smelters and refiners that agree to participate in the RMAP. The smelters and refiners that are found to be RMAP compliant are those for which the independent auditor has verified that the smelter’s or refiner’s conflict minerals originated from conflict free mines and trading in the Democratic Republic of the Congo or any of its adjoining countries. A list of smelters identified to date, and associated information, is provided hereto as </w:t>
      </w:r>
      <w:r>
        <w:rPr>
          <w:rFonts w:ascii="Times New Roman" w:cs="Times New Roman" w:eastAsia="Times New Roman" w:hAnsi="Times New Roman"/>
          <w:sz w:val="18"/>
          <w:szCs w:val="18"/>
          <w:b w:val="1"/>
          <w:bCs w:val="1"/>
          <w:color w:val="auto"/>
        </w:rPr>
        <w:t>Attachment A</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conducting good faith due diligence on the presence of necessary conflict minerals in certain of the Company’s products, AOB has been unable to identify all smelters, refiners in its supply chain and the ultimate source of origin of such minerals. The Company is continuing its efforts to identify and mitigate risks in its supply chain and to obtain complete information from its upstream suppliers. The Company’s efforts are necessarily dependent upon the willingness of its supply chain participants to cooperate and assist in this endeavour and there can be no guarantee that the Company will be able to obtain adequate and reliable information upon which to base its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338455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188"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24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9"/>
              </w:rPr>
              <w:t>Attachment A</w:t>
            </w: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53"/>
        </w:trPr>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100" w:type="dxa"/>
            <w:vAlign w:val="bottom"/>
            <w:gridSpan w:val="3"/>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7"/>
              </w:rPr>
              <w:t>SMELTER DETAILS</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18"/>
        </w:trPr>
        <w:tc>
          <w:tcPr>
            <w:tcW w:w="1220" w:type="dxa"/>
            <w:vAlign w:val="bottom"/>
          </w:tcPr>
          <w:p>
            <w:pPr>
              <w:spacing w:after="0"/>
              <w:rPr>
                <w:sz w:val="24"/>
                <w:szCs w:val="24"/>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Smelter Name</w:t>
            </w: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Smelter Country</w:t>
            </w:r>
          </w:p>
        </w:tc>
        <w:tc>
          <w:tcPr>
            <w:tcW w:w="520" w:type="dxa"/>
            <w:vAlign w:val="bottom"/>
          </w:tcPr>
          <w:p>
            <w:pPr>
              <w:spacing w:after="0"/>
              <w:rPr>
                <w:sz w:val="24"/>
                <w:szCs w:val="24"/>
                <w:color w:val="auto"/>
              </w:rPr>
            </w:pPr>
          </w:p>
        </w:tc>
        <w:tc>
          <w:tcPr>
            <w:tcW w:w="182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6"/>
              </w:rPr>
              <w:t>3TG</w:t>
            </w:r>
          </w:p>
        </w:tc>
      </w:tr>
      <w:tr>
        <w:trPr>
          <w:trHeight w:val="20"/>
        </w:trPr>
        <w:tc>
          <w:tcPr>
            <w:tcW w:w="1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91"/>
        </w:trPr>
        <w:tc>
          <w:tcPr>
            <w:tcW w:w="1220" w:type="dxa"/>
            <w:vAlign w:val="bottom"/>
          </w:tcPr>
          <w:p>
            <w:pPr>
              <w:spacing w:after="0"/>
              <w:rPr>
                <w:sz w:val="24"/>
                <w:szCs w:val="24"/>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A.L.M.T. TUNGSTEN Corp.</w:t>
            </w: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Japan</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rPr>
              <w:t>Tungsten</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Japan</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Allgemeine Gold-und Silberscheideanstalt A.G.</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Germany</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Alpha</w:t>
            </w: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United States</w:t>
            </w:r>
          </w:p>
        </w:tc>
        <w:tc>
          <w:tcPr>
            <w:tcW w:w="520" w:type="dxa"/>
            <w:vAlign w:val="bottom"/>
          </w:tcPr>
          <w:p>
            <w:pPr>
              <w:spacing w:after="0"/>
              <w:rPr>
                <w:sz w:val="23"/>
                <w:szCs w:val="23"/>
                <w:color w:val="auto"/>
              </w:rPr>
            </w:pPr>
          </w:p>
        </w:tc>
        <w:tc>
          <w:tcPr>
            <w:tcW w:w="182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Brazil</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Argor-Heraeus S.A.</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Switzerland</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Asahi Pretec Corp.</w:t>
            </w: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Japan</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Asahi Refining Canada Ltd.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Canada</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Asahi Refining USA Inc.</w:t>
            </w: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United States</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Asaka Riken Co., Ltd.</w:t>
            </w: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Japan</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Aurubis AG</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Germany</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Philippines</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Boliden AB</w:t>
            </w: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Sweden</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 Hafner GmbH + Co. KG</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Germany</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Canada</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Changsha South Tantalum Niobium Co., Ltd.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China</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8"/>
              </w:rPr>
              <w:t>Tantalum</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Chenzhou Diamond Tungsten Products Co., Ltd.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China</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rPr>
              <w:t>Tungsten</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Chimet S.p.A.</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Italy</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China Tin Group Co., Ltd.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China</w:t>
            </w:r>
          </w:p>
        </w:tc>
        <w:tc>
          <w:tcPr>
            <w:tcW w:w="520" w:type="dxa"/>
            <w:vAlign w:val="bottom"/>
          </w:tcPr>
          <w:p>
            <w:pPr>
              <w:spacing w:after="0"/>
              <w:rPr>
                <w:sz w:val="23"/>
                <w:szCs w:val="23"/>
                <w:color w:val="auto"/>
              </w:rPr>
            </w:pPr>
          </w:p>
        </w:tc>
        <w:tc>
          <w:tcPr>
            <w:tcW w:w="182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China</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rPr>
              <w:t>Tungsten</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CV Ayi Jaya</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Indonesia</w:t>
            </w:r>
          </w:p>
        </w:tc>
        <w:tc>
          <w:tcPr>
            <w:tcW w:w="520" w:type="dxa"/>
            <w:vAlign w:val="bottom"/>
          </w:tcPr>
          <w:p>
            <w:pPr>
              <w:spacing w:after="0"/>
              <w:rPr>
                <w:sz w:val="23"/>
                <w:szCs w:val="23"/>
                <w:color w:val="auto"/>
              </w:rPr>
            </w:pPr>
          </w:p>
        </w:tc>
        <w:tc>
          <w:tcPr>
            <w:tcW w:w="182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CV Venus Inti Perkasa</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Indonesia</w:t>
            </w:r>
          </w:p>
        </w:tc>
        <w:tc>
          <w:tcPr>
            <w:tcW w:w="520" w:type="dxa"/>
            <w:vAlign w:val="bottom"/>
          </w:tcPr>
          <w:p>
            <w:pPr>
              <w:spacing w:after="0"/>
              <w:rPr>
                <w:sz w:val="23"/>
                <w:szCs w:val="23"/>
                <w:color w:val="auto"/>
              </w:rPr>
            </w:pPr>
          </w:p>
        </w:tc>
        <w:tc>
          <w:tcPr>
            <w:tcW w:w="182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Block Metals, LLC</w:t>
            </w: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United States</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8"/>
              </w:rPr>
              <w:t>Tantalum</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Dowa</w:t>
            </w: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Japan</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Dowa</w:t>
            </w: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Japan</w:t>
            </w:r>
          </w:p>
        </w:tc>
        <w:tc>
          <w:tcPr>
            <w:tcW w:w="520" w:type="dxa"/>
            <w:vAlign w:val="bottom"/>
          </w:tcPr>
          <w:p>
            <w:pPr>
              <w:spacing w:after="0"/>
              <w:rPr>
                <w:sz w:val="23"/>
                <w:szCs w:val="23"/>
                <w:color w:val="auto"/>
              </w:rPr>
            </w:pPr>
          </w:p>
        </w:tc>
        <w:tc>
          <w:tcPr>
            <w:tcW w:w="182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Japan</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 Vinto</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Bolivia</w:t>
            </w:r>
          </w:p>
        </w:tc>
        <w:tc>
          <w:tcPr>
            <w:tcW w:w="520" w:type="dxa"/>
            <w:vAlign w:val="bottom"/>
          </w:tcPr>
          <w:p>
            <w:pPr>
              <w:spacing w:after="0"/>
              <w:rPr>
                <w:sz w:val="23"/>
                <w:szCs w:val="23"/>
                <w:color w:val="auto"/>
              </w:rPr>
            </w:pPr>
          </w:p>
        </w:tc>
        <w:tc>
          <w:tcPr>
            <w:tcW w:w="182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China</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8"/>
              </w:rPr>
              <w:t>Tantalum</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Fenix Metals</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Poland</w:t>
            </w:r>
          </w:p>
        </w:tc>
        <w:tc>
          <w:tcPr>
            <w:tcW w:w="520" w:type="dxa"/>
            <w:vAlign w:val="bottom"/>
          </w:tcPr>
          <w:p>
            <w:pPr>
              <w:spacing w:after="0"/>
              <w:rPr>
                <w:sz w:val="23"/>
                <w:szCs w:val="23"/>
                <w:color w:val="auto"/>
              </w:rPr>
            </w:pPr>
          </w:p>
        </w:tc>
        <w:tc>
          <w:tcPr>
            <w:tcW w:w="182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Ganzhou Huaxing Tungsten Products Co., Ltd.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China</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rPr>
              <w:t>Tungsten</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China</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rPr>
              <w:t>Tungsten</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China</w:t>
            </w:r>
          </w:p>
        </w:tc>
        <w:tc>
          <w:tcPr>
            <w:tcW w:w="520" w:type="dxa"/>
            <w:vAlign w:val="bottom"/>
          </w:tcPr>
          <w:p>
            <w:pPr>
              <w:spacing w:after="0"/>
              <w:rPr>
                <w:sz w:val="23"/>
                <w:szCs w:val="23"/>
                <w:color w:val="auto"/>
              </w:rPr>
            </w:pPr>
          </w:p>
        </w:tc>
        <w:tc>
          <w:tcPr>
            <w:tcW w:w="182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China</w:t>
            </w:r>
          </w:p>
        </w:tc>
        <w:tc>
          <w:tcPr>
            <w:tcW w:w="520" w:type="dxa"/>
            <w:vAlign w:val="bottom"/>
          </w:tcPr>
          <w:p>
            <w:pPr>
              <w:spacing w:after="0"/>
              <w:rPr>
                <w:sz w:val="23"/>
                <w:szCs w:val="23"/>
                <w:color w:val="auto"/>
              </w:rPr>
            </w:pPr>
          </w:p>
        </w:tc>
        <w:tc>
          <w:tcPr>
            <w:tcW w:w="182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Japan</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8"/>
              </w:rPr>
              <w:t>Tantalum</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United States</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8"/>
              </w:rPr>
              <w:t>Tantalum</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Global Tungsten &amp; Powders Corp.</w:t>
            </w: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United States</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rPr>
              <w:t>Tungsten</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China</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China</w:t>
            </w:r>
          </w:p>
        </w:tc>
        <w:tc>
          <w:tcPr>
            <w:tcW w:w="520" w:type="dxa"/>
            <w:vAlign w:val="bottom"/>
          </w:tcPr>
          <w:p>
            <w:pPr>
              <w:spacing w:after="0"/>
              <w:rPr>
                <w:sz w:val="23"/>
                <w:szCs w:val="23"/>
                <w:color w:val="auto"/>
              </w:rPr>
            </w:pPr>
          </w:p>
        </w:tc>
        <w:tc>
          <w:tcPr>
            <w:tcW w:w="182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China</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rPr>
              <w:t>Tungsten</w:t>
            </w:r>
          </w:p>
        </w:tc>
      </w:tr>
      <w:tr>
        <w:trPr>
          <w:trHeight w:val="270"/>
        </w:trPr>
        <w:tc>
          <w:tcPr>
            <w:tcW w:w="12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H.C. Starck Inc.</w:t>
            </w: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United States</w:t>
            </w:r>
          </w:p>
        </w:tc>
        <w:tc>
          <w:tcPr>
            <w:tcW w:w="23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8"/>
              </w:rPr>
              <w:t>Tantalum</w:t>
            </w:r>
          </w:p>
        </w:tc>
      </w:tr>
      <w:tr>
        <w:trPr>
          <w:trHeight w:val="1006"/>
        </w:trPr>
        <w:tc>
          <w:tcPr>
            <w:tcW w:w="1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H.C. Starck Tungsten GmbH</w:t>
            </w:r>
          </w:p>
        </w:tc>
        <w:tc>
          <w:tcPr>
            <w:tcW w:w="27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Germany</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rPr>
              <w:t>Tungsten</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Heimerle + Meule GmbH</w:t>
            </w:r>
          </w:p>
        </w:tc>
        <w:tc>
          <w:tcPr>
            <w:tcW w:w="27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Germany</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27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7"/>
              </w:rPr>
              <w:t>China</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8"/>
              </w:rPr>
              <w:t>Tantalum</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27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7"/>
              </w:rPr>
              <w:t>China</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Heraeus Precious Metals GmbH &amp; Co. KG</w:t>
            </w:r>
          </w:p>
        </w:tc>
        <w:tc>
          <w:tcPr>
            <w:tcW w:w="27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Germany</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Hunan Chunchang Nonferrous Metals Co., Ltd.</w:t>
            </w:r>
          </w:p>
        </w:tc>
        <w:tc>
          <w:tcPr>
            <w:tcW w:w="27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7"/>
              </w:rPr>
              <w:t>China</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rPr>
              <w:t>Tungsten</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27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7"/>
              </w:rPr>
              <w:t>Japan</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Istanbul Gold Refinery</w:t>
            </w:r>
          </w:p>
        </w:tc>
        <w:tc>
          <w:tcPr>
            <w:tcW w:w="27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Turkey</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Japan New Metals Co., Ltd.</w:t>
            </w:r>
          </w:p>
        </w:tc>
        <w:tc>
          <w:tcPr>
            <w:tcW w:w="27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7"/>
              </w:rPr>
              <w:t>Japan</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rPr>
              <w:t>Tungsten</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27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7"/>
              </w:rPr>
              <w:t>China</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rPr>
              <w:t>Tungsten</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Jiangxi Copper Co., Ltd.</w:t>
            </w:r>
          </w:p>
        </w:tc>
        <w:tc>
          <w:tcPr>
            <w:tcW w:w="27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7"/>
              </w:rPr>
              <w:t>China</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27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7"/>
              </w:rPr>
              <w:t>China</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8"/>
              </w:rPr>
              <w:t>Tantalum</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Jiujiang Tanbre Co., Ltd.</w:t>
            </w:r>
          </w:p>
        </w:tc>
        <w:tc>
          <w:tcPr>
            <w:tcW w:w="27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7"/>
              </w:rPr>
              <w:t>China</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8"/>
              </w:rPr>
              <w:t>Tantalum</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27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7"/>
              </w:rPr>
              <w:t>Japan</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Kennametal Huntsville</w:t>
            </w:r>
          </w:p>
        </w:tc>
        <w:tc>
          <w:tcPr>
            <w:tcW w:w="27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United States</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rPr>
              <w:t>Tungsten</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27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United States</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Kojima Chemicals Co., Ltd.</w:t>
            </w:r>
          </w:p>
        </w:tc>
        <w:tc>
          <w:tcPr>
            <w:tcW w:w="27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7"/>
              </w:rPr>
              <w:t>Japan</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LSM Brasil S.A.</w:t>
            </w:r>
          </w:p>
        </w:tc>
        <w:tc>
          <w:tcPr>
            <w:tcW w:w="27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Brazil</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8"/>
              </w:rPr>
              <w:t>Tantalum</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LS-NIKKO Copper Inc.</w:t>
            </w:r>
          </w:p>
        </w:tc>
        <w:tc>
          <w:tcPr>
            <w:tcW w:w="27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Republic of Korea</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27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Brazil</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27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Malaysia</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Masan High-Tech Materials</w:t>
            </w:r>
          </w:p>
        </w:tc>
        <w:tc>
          <w:tcPr>
            <w:tcW w:w="27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Viet Nam</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rPr>
              <w:t>Tungsten</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Materion</w:t>
            </w:r>
          </w:p>
        </w:tc>
        <w:tc>
          <w:tcPr>
            <w:tcW w:w="27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United States</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Matsuda Sangyo Co., Ltd.</w:t>
            </w:r>
          </w:p>
        </w:tc>
        <w:tc>
          <w:tcPr>
            <w:tcW w:w="27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7"/>
              </w:rPr>
              <w:t>Japan</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Melt Metais e Ligas S.A.</w:t>
            </w:r>
          </w:p>
        </w:tc>
        <w:tc>
          <w:tcPr>
            <w:tcW w:w="27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Brazil</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Metallic Resources, Inc.</w:t>
            </w:r>
          </w:p>
        </w:tc>
        <w:tc>
          <w:tcPr>
            <w:tcW w:w="27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United States</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Metallo Belgium N.V.</w:t>
            </w:r>
          </w:p>
        </w:tc>
        <w:tc>
          <w:tcPr>
            <w:tcW w:w="27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Belgium</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Metallo Spain S.L.U.</w:t>
            </w:r>
          </w:p>
        </w:tc>
        <w:tc>
          <w:tcPr>
            <w:tcW w:w="27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Spain</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27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7"/>
              </w:rPr>
              <w:t>China</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27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Singapore</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Metalor Technologies S.A.</w:t>
            </w:r>
          </w:p>
        </w:tc>
        <w:tc>
          <w:tcPr>
            <w:tcW w:w="27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Switzerland</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27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United States</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27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Mexico</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Mineracao Taboca S.A.</w:t>
            </w:r>
          </w:p>
        </w:tc>
        <w:tc>
          <w:tcPr>
            <w:tcW w:w="27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Brazil</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8"/>
              </w:rPr>
              <w:t>Tantalum</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Mineracao Taboca S.A.</w:t>
            </w:r>
          </w:p>
        </w:tc>
        <w:tc>
          <w:tcPr>
            <w:tcW w:w="27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Brazil</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Minsur</w:t>
            </w:r>
          </w:p>
        </w:tc>
        <w:tc>
          <w:tcPr>
            <w:tcW w:w="27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Peru</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7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7"/>
              </w:rPr>
              <w:t>Japan</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7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7"/>
              </w:rPr>
              <w:t>Japan</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7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7"/>
              </w:rPr>
              <w:t>Japan</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7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7"/>
              </w:rPr>
              <w:t>Japan</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8"/>
              </w:rPr>
              <w:t>Tantalum</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27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Turkey</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Niagara Refining LLC</w:t>
            </w:r>
          </w:p>
        </w:tc>
        <w:tc>
          <w:tcPr>
            <w:tcW w:w="27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United States</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rPr>
              <w:t>Tungsten</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Nihon Material Co., Ltd.</w:t>
            </w:r>
          </w:p>
        </w:tc>
        <w:tc>
          <w:tcPr>
            <w:tcW w:w="27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7"/>
              </w:rPr>
              <w:t>Japan</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27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7"/>
              </w:rPr>
              <w:t>China</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8"/>
              </w:rPr>
              <w:t>Tantalum</w:t>
            </w:r>
          </w:p>
        </w:tc>
      </w:tr>
      <w:tr>
        <w:trPr>
          <w:trHeight w:val="270"/>
        </w:trPr>
        <w:tc>
          <w:tcPr>
            <w:tcW w:w="61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27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Thailand</w:t>
            </w:r>
          </w:p>
        </w:tc>
        <w:tc>
          <w:tcPr>
            <w:tcW w:w="23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5"/>
              </w:rPr>
              <w:t>Tin</w:t>
            </w:r>
          </w:p>
        </w:tc>
      </w:tr>
      <w:tr>
        <w:trPr>
          <w:trHeight w:val="1006"/>
        </w:trPr>
        <w:tc>
          <w:tcPr>
            <w:tcW w:w="61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Philippines</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26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7"/>
              </w:rPr>
              <w:t>Japan</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Bolivia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PAMP S.A.</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Switzerland</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Indonesia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Indonesia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PT Artha Cipta Langgeng</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Indonesia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Indonesia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PT Babel Inti Perkasa</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Indonesia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PT Bangka Prima Tin</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Indonesia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PT Bangka Serumpun</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Indonesia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PT Bangka Tin Industry</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Indonesia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PT Belitung Industri Sejahtera</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Indonesia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PT Bukit Timah</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Indonesia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PT Menara Cipta Mulia</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Indonesia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PT Mitra Stania Prima</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Indonesia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PT Panca Mega Persada</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Indonesia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PT Premium Tin Indonesia</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Indonesia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PT Prima Timah Utama</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Indonesia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PT Refined Bangka Tin</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Indonesia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PT Sariwiguna Binasentosa</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Indonesia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PT Stanindo Inti Perkasa</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Indonesia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PT Sukses Inti Makmur</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Indonesia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PT Timah Tbk Kundur</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Indonesia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PT Timah Tbk Mentok</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Indonesia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PT Tinindo Inter Nusa</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Indonesia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PX Precinox S.A.</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Switzerland</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Rand Refinery (Pty) Ltd.</w:t>
            </w:r>
          </w:p>
        </w:tc>
        <w:tc>
          <w:tcPr>
            <w:tcW w:w="26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South Africa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6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Brazil</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Royal Canadian Mint</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Canada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Rui Da Hung</w:t>
            </w:r>
          </w:p>
        </w:tc>
        <w:tc>
          <w:tcPr>
            <w:tcW w:w="26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6"/>
              </w:rPr>
              <w:t>Taiwan</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Spain</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7"/>
              </w:rPr>
              <w:t>China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7"/>
              </w:rPr>
              <w:t>China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26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6"/>
              </w:rPr>
              <w:t>Taiwan</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26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7"/>
              </w:rPr>
              <w:t>Japan</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Taki Chemical Co., Ltd.</w:t>
            </w:r>
          </w:p>
        </w:tc>
        <w:tc>
          <w:tcPr>
            <w:tcW w:w="26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7"/>
              </w:rPr>
              <w:t>Japan</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8"/>
              </w:rPr>
              <w:t>Tantalum</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26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7"/>
              </w:rPr>
              <w:t>Japan</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TANIOBIS Co., Ltd.</w:t>
            </w:r>
          </w:p>
        </w:tc>
        <w:tc>
          <w:tcPr>
            <w:tcW w:w="26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Thailand</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8"/>
              </w:rPr>
              <w:t>Tantalum</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TANIOBIS GmbH</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Germany</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8"/>
              </w:rPr>
              <w:t>Tantalum</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TANIOBIS Japan Co., Ltd.</w:t>
            </w:r>
          </w:p>
        </w:tc>
        <w:tc>
          <w:tcPr>
            <w:tcW w:w="26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7"/>
              </w:rPr>
              <w:t>Japan</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8"/>
              </w:rPr>
              <w:t>Tantalum</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Germany</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8"/>
              </w:rPr>
              <w:t>Tantalum</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26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Germany</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Tungsten</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Telex Metals</w:t>
            </w:r>
          </w:p>
        </w:tc>
        <w:tc>
          <w:tcPr>
            <w:tcW w:w="26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United States</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8"/>
              </w:rPr>
              <w:t>Tantalum</w:t>
            </w:r>
          </w:p>
        </w:tc>
      </w:tr>
      <w:tr>
        <w:trPr>
          <w:trHeight w:val="270"/>
        </w:trPr>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Thaisarco</w:t>
            </w:r>
          </w:p>
        </w:tc>
        <w:tc>
          <w:tcPr>
            <w:tcW w:w="26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Thailand</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1006"/>
        </w:trPr>
        <w:tc>
          <w:tcPr>
            <w:tcW w:w="62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63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Tokuriki Honten Co., Ltd.</w:t>
            </w:r>
          </w:p>
        </w:tc>
        <w:tc>
          <w:tcPr>
            <w:tcW w:w="24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7"/>
              </w:rPr>
              <w:t>Japan</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3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24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Kazakhstan</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8"/>
              </w:rPr>
              <w:t>Tantalum</w:t>
            </w:r>
          </w:p>
        </w:tc>
      </w:tr>
      <w:tr>
        <w:trPr>
          <w:trHeight w:val="270"/>
        </w:trPr>
        <w:tc>
          <w:tcPr>
            <w:tcW w:w="63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24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Thailand</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3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24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Belgium</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3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24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United States</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3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Valcambi S.A.</w:t>
            </w:r>
          </w:p>
        </w:tc>
        <w:tc>
          <w:tcPr>
            <w:tcW w:w="24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Switzerland</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3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24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Australia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3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24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Brazil</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3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24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Austria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Tungsten</w:t>
            </w:r>
          </w:p>
        </w:tc>
      </w:tr>
      <w:tr>
        <w:trPr>
          <w:trHeight w:val="270"/>
        </w:trPr>
        <w:tc>
          <w:tcPr>
            <w:tcW w:w="63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24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7"/>
              </w:rPr>
              <w:t>China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Tungsten</w:t>
            </w:r>
          </w:p>
        </w:tc>
      </w:tr>
      <w:tr>
        <w:trPr>
          <w:trHeight w:val="270"/>
        </w:trPr>
        <w:tc>
          <w:tcPr>
            <w:tcW w:w="63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Xiamen Tungsten Co., Ltd.</w:t>
            </w:r>
          </w:p>
        </w:tc>
        <w:tc>
          <w:tcPr>
            <w:tcW w:w="24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7"/>
              </w:rPr>
              <w:t>China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Tungsten</w:t>
            </w:r>
          </w:p>
        </w:tc>
      </w:tr>
      <w:tr>
        <w:trPr>
          <w:trHeight w:val="270"/>
        </w:trPr>
        <w:tc>
          <w:tcPr>
            <w:tcW w:w="63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24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7"/>
              </w:rPr>
              <w:t>China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8"/>
              </w:rPr>
              <w:t>Tantalum</w:t>
            </w:r>
          </w:p>
        </w:tc>
      </w:tr>
      <w:tr>
        <w:trPr>
          <w:trHeight w:val="270"/>
        </w:trPr>
        <w:tc>
          <w:tcPr>
            <w:tcW w:w="63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Yamakin Co., Ltd.</w:t>
            </w:r>
          </w:p>
        </w:tc>
        <w:tc>
          <w:tcPr>
            <w:tcW w:w="24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7"/>
              </w:rPr>
              <w:t>Japan</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3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Yokohama Metal Co., Ltd.</w:t>
            </w:r>
          </w:p>
        </w:tc>
        <w:tc>
          <w:tcPr>
            <w:tcW w:w="24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7"/>
              </w:rPr>
              <w:t>Japan</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270"/>
        </w:trPr>
        <w:tc>
          <w:tcPr>
            <w:tcW w:w="63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24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7"/>
              </w:rPr>
              <w:t>China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3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Yunnan Tin Company Limited</w:t>
            </w:r>
          </w:p>
        </w:tc>
        <w:tc>
          <w:tcPr>
            <w:tcW w:w="24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7"/>
              </w:rPr>
              <w:t>China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5"/>
              </w:rPr>
              <w:t>Tin</w:t>
            </w:r>
          </w:p>
        </w:tc>
      </w:tr>
      <w:tr>
        <w:trPr>
          <w:trHeight w:val="270"/>
        </w:trPr>
        <w:tc>
          <w:tcPr>
            <w:tcW w:w="63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24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7"/>
              </w:rPr>
              <w:t>China</w:t>
            </w:r>
          </w:p>
        </w:tc>
        <w:tc>
          <w:tcPr>
            <w:tcW w:w="24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Gold</w:t>
            </w:r>
          </w:p>
        </w:tc>
      </w:tr>
      <w:tr>
        <w:trPr>
          <w:trHeight w:val="1006"/>
        </w:trPr>
        <w:tc>
          <w:tcPr>
            <w:tcW w:w="63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2024-05-31T15:34:15Z</dcterms:created>
  <dcterms:modified xsi:type="dcterms:W3CDTF">2024-05-31T15:34:15Z</dcterms:modified>
</cp:coreProperties>
</file>