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September 05,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225425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American Outdoor Brands,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35"/>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001-39366</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84-4630928</w:t>
            </w:r>
          </w:p>
        </w:tc>
      </w:tr>
      <w:tr>
        <w:trPr>
          <w:trHeight w:val="149"/>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437"/>
        </w:trPr>
        <w:tc>
          <w:tcPr>
            <w:tcW w:w="300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rPr>
              <w:t>1800 North Route Z</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35"/>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9"/>
              </w:rPr>
              <w:t>Columbia, Missouri</w:t>
            </w:r>
          </w:p>
        </w:tc>
        <w:tc>
          <w:tcPr>
            <w:tcW w:w="3260" w:type="dxa"/>
            <w:vAlign w:val="bottom"/>
          </w:tcPr>
          <w:p>
            <w:pPr>
              <w:spacing w:after="0"/>
              <w:rPr>
                <w:sz w:val="20"/>
                <w:szCs w:val="20"/>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65202</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2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(800) 338-9585</w:t>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256540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45"/>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1"/>
                <w:szCs w:val="21"/>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1"/>
                <w:szCs w:val="21"/>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AOUT</w:t>
            </w:r>
          </w:p>
        </w:tc>
        <w:tc>
          <w:tcPr>
            <w:tcW w:w="12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193"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 September 5, 2024, American Outdoor Brands, Inc. issued a press release reporting its financial results for the three months ended July 31,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press release is furnished as Exhibit 99.1 to this report and incorporated herein by reference.</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37" w:lineRule="exact"/>
        <w:rPr>
          <w:sz w:val="20"/>
          <w:szCs w:val="20"/>
          <w:color w:val="auto"/>
        </w:rPr>
      </w:pPr>
    </w:p>
    <w:p>
      <w:pPr>
        <w:ind w:left="920" w:hanging="899"/>
        <w:spacing w:after="0"/>
        <w:tabs>
          <w:tab w:leader="none" w:pos="920" w:val="left"/>
        </w:tabs>
        <w:numPr>
          <w:ilvl w:val="0"/>
          <w:numId w:val="2"/>
        </w:numPr>
        <w:rPr>
          <w:rFonts w:ascii="Times New Roman" w:cs="Times New Roman" w:eastAsia="Times New Roman" w:hAnsi="Times New Roman"/>
          <w:sz w:val="16"/>
          <w:szCs w:val="16"/>
          <w:color w:val="212529"/>
        </w:rPr>
      </w:pPr>
      <w:r>
        <w:rPr>
          <w:rFonts w:ascii="Times New Roman" w:cs="Times New Roman" w:eastAsia="Times New Roman" w:hAnsi="Times New Roman"/>
          <w:sz w:val="16"/>
          <w:szCs w:val="16"/>
          <w:i w:val="1"/>
          <w:iCs w:val="1"/>
          <w:color w:val="212529"/>
        </w:rPr>
        <w:t>Exhibits.</w:t>
      </w:r>
    </w:p>
    <w:p>
      <w:pPr>
        <w:spacing w:after="0" w:line="1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Exhibit</w:t>
      </w:r>
    </w:p>
    <w:p>
      <w:pPr>
        <w:spacing w:after="0" w:line="194" w:lineRule="exact"/>
        <w:rPr>
          <w:sz w:val="20"/>
          <w:szCs w:val="20"/>
          <w:color w:val="auto"/>
        </w:rPr>
      </w:pPr>
    </w:p>
    <w:p>
      <w:pPr>
        <w:ind w:left="20"/>
        <w:spacing w:after="0"/>
        <w:tabs>
          <w:tab w:leader="none" w:pos="1140" w:val="left"/>
        </w:tabs>
        <w:rPr>
          <w:sz w:val="20"/>
          <w:szCs w:val="20"/>
          <w:color w:val="auto"/>
        </w:rPr>
      </w:pPr>
      <w:r>
        <w:rPr>
          <w:rFonts w:ascii="Times New Roman" w:cs="Times New Roman" w:eastAsia="Times New Roman" w:hAnsi="Times New Roman"/>
          <w:sz w:val="16"/>
          <w:szCs w:val="16"/>
          <w:color w:val="auto"/>
        </w:rPr>
        <w:t>Number</w:t>
      </w:r>
      <w:r>
        <w:rPr>
          <w:sz w:val="20"/>
          <w:szCs w:val="20"/>
          <w:color w:val="auto"/>
        </w:rPr>
        <w:tab/>
      </w:r>
      <w:r>
        <w:rPr>
          <w:rFonts w:ascii="Times New Roman" w:cs="Times New Roman" w:eastAsia="Times New Roman" w:hAnsi="Times New Roman"/>
          <w:sz w:val="16"/>
          <w:szCs w:val="16"/>
          <w:color w:val="auto"/>
        </w:rPr>
        <w:t>Description</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0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99.1</w:t>
            </w:r>
          </w:p>
        </w:tc>
        <w:tc>
          <w:tcPr>
            <w:tcW w:w="120" w:type="dxa"/>
            <w:vAlign w:val="bottom"/>
          </w:tcPr>
          <w:p>
            <w:pPr>
              <w:spacing w:after="0"/>
              <w:rPr>
                <w:sz w:val="17"/>
                <w:szCs w:val="17"/>
                <w:color w:val="auto"/>
              </w:rPr>
            </w:pPr>
          </w:p>
        </w:tc>
        <w:tc>
          <w:tcPr>
            <w:tcW w:w="10080" w:type="dxa"/>
            <w:vAlign w:val="bottom"/>
            <w:tcBorders>
              <w:top w:val="single" w:sz="8" w:color="auto"/>
            </w:tcBorders>
            <w:gridSpan w:val="3"/>
          </w:tcPr>
          <w:p>
            <w:pPr>
              <w:spacing w:after="0" w:line="202" w:lineRule="exact"/>
              <w:rPr>
                <w:sz w:val="20"/>
                <w:szCs w:val="20"/>
                <w:color w:val="auto"/>
              </w:rPr>
            </w:pPr>
            <w:r>
              <w:rPr>
                <w:rFonts w:ascii="Times New Roman" w:cs="Times New Roman" w:eastAsia="Times New Roman" w:hAnsi="Times New Roman"/>
                <w:sz w:val="18"/>
                <w:szCs w:val="18"/>
                <w:color w:val="0000FF"/>
                <w:w w:val="99"/>
              </w:rPr>
              <w:t>Press release from the Registrant, dated September 5, 2024, reporting American Outdoor Brand, Inc.’s financial results for the three months</w:t>
            </w: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60" w:type="dxa"/>
            <w:vAlign w:val="bottom"/>
            <w:tcBorders>
              <w:top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ended July 31, 2024.</w:t>
            </w:r>
          </w:p>
        </w:tc>
        <w:tc>
          <w:tcPr>
            <w:tcW w:w="2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8580" w:type="dxa"/>
            <w:vAlign w:val="bottom"/>
            <w:gridSpan w:val="2"/>
          </w:tcPr>
          <w:p>
            <w:pPr>
              <w:spacing w:after="0" w:line="20" w:lineRule="exact"/>
              <w:rPr>
                <w:sz w:val="1"/>
                <w:szCs w:val="1"/>
                <w:color w:val="auto"/>
              </w:rPr>
            </w:pPr>
          </w:p>
        </w:tc>
      </w:tr>
      <w:tr>
        <w:trPr>
          <w:trHeight w:val="244"/>
        </w:trPr>
        <w:tc>
          <w:tcPr>
            <w:tcW w:w="1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104</w:t>
            </w:r>
          </w:p>
        </w:tc>
        <w:tc>
          <w:tcPr>
            <w:tcW w:w="120" w:type="dxa"/>
            <w:vAlign w:val="bottom"/>
          </w:tcPr>
          <w:p>
            <w:pPr>
              <w:spacing w:after="0"/>
              <w:rPr>
                <w:sz w:val="21"/>
                <w:szCs w:val="21"/>
                <w:color w:val="auto"/>
              </w:rPr>
            </w:pPr>
          </w:p>
        </w:tc>
        <w:tc>
          <w:tcPr>
            <w:tcW w:w="100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Cover Page Interactive Data File (embedded within the Inline XBRL document)</w:t>
            </w:r>
          </w:p>
        </w:tc>
      </w:tr>
      <w:tr>
        <w:trPr>
          <w:trHeight w:val="1012"/>
        </w:trPr>
        <w:tc>
          <w:tcPr>
            <w:tcW w:w="10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85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AMERICAN OUTDOOR BRANDS, INC.</w:t>
      </w:r>
    </w:p>
    <w:p>
      <w:pPr>
        <w:spacing w:after="0" w:line="399" w:lineRule="exact"/>
        <w:rPr>
          <w:sz w:val="20"/>
          <w:szCs w:val="20"/>
          <w:color w:val="auto"/>
        </w:rPr>
      </w:pPr>
    </w:p>
    <w:p>
      <w:pPr>
        <w:ind w:left="20"/>
        <w:spacing w:after="0"/>
        <w:tabs>
          <w:tab w:leader="none" w:pos="680" w:val="left"/>
          <w:tab w:leader="none" w:pos="5640" w:val="left"/>
          <w:tab w:leader="none" w:pos="6080" w:val="left"/>
        </w:tabs>
        <w:rPr>
          <w:sz w:val="20"/>
          <w:szCs w:val="20"/>
          <w:color w:val="auto"/>
        </w:rPr>
      </w:pPr>
      <w:r>
        <w:rPr>
          <w:rFonts w:ascii="Times New Roman" w:cs="Times New Roman" w:eastAsia="Times New Roman" w:hAnsi="Times New Roman"/>
          <w:sz w:val="18"/>
          <w:szCs w:val="18"/>
          <w:color w:val="auto"/>
        </w:rPr>
        <w:t>Date:</w:t>
        <w:tab/>
        <w:t>September 5,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H. Andrew Fulmer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27305</wp:posOffset>
            </wp:positionV>
            <wp:extent cx="32746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H. Andrew Fulmer</w:t>
      </w:r>
    </w:p>
    <w:p>
      <w:pPr>
        <w:spacing w:after="0" w:line="2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Executive Vice President, 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721995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jc w:val="right"/>
        <w:ind w:right="20"/>
        <w:spacing w:after="0"/>
        <w:rPr>
          <w:sz w:val="20"/>
          <w:szCs w:val="20"/>
          <w:color w:val="auto"/>
        </w:rPr>
      </w:pPr>
      <w:r>
        <w:rPr>
          <w:rFonts w:ascii="Calibri" w:cs="Calibri" w:eastAsia="Calibri" w:hAnsi="Calibri"/>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-132715</wp:posOffset>
            </wp:positionV>
            <wp:extent cx="3145790" cy="5829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145790" cy="582930"/>
                    </a:xfrm>
                    <a:prstGeom prst="rect">
                      <a:avLst/>
                    </a:prstGeom>
                    <a:noFill/>
                  </pic:spPr>
                </pic:pic>
              </a:graphicData>
            </a:graphic>
          </wp:anchor>
        </w:drawing>
      </w:r>
    </w:p>
    <w:p>
      <w:pPr>
        <w:jc w:val="right"/>
        <w:ind w:right="20"/>
        <w:spacing w:after="0"/>
        <w:rPr>
          <w:sz w:val="20"/>
          <w:szCs w:val="20"/>
          <w:color w:val="auto"/>
        </w:rPr>
      </w:pPr>
      <w:r>
        <w:rPr>
          <w:rFonts w:ascii="Calibri" w:cs="Calibri" w:eastAsia="Calibri" w:hAnsi="Calibri"/>
          <w:sz w:val="20"/>
          <w:szCs w:val="20"/>
          <w:color w:val="auto"/>
        </w:rPr>
        <w:t>1800 N Route Z</w:t>
      </w:r>
    </w:p>
    <w:p>
      <w:pPr>
        <w:spacing w:after="0" w:line="12" w:lineRule="exact"/>
        <w:rPr>
          <w:sz w:val="20"/>
          <w:szCs w:val="20"/>
          <w:color w:val="auto"/>
        </w:rPr>
      </w:pPr>
    </w:p>
    <w:p>
      <w:pPr>
        <w:jc w:val="right"/>
        <w:ind w:right="20"/>
        <w:spacing w:after="0"/>
        <w:rPr>
          <w:sz w:val="20"/>
          <w:szCs w:val="20"/>
          <w:color w:val="auto"/>
        </w:rPr>
      </w:pPr>
      <w:r>
        <w:rPr>
          <w:rFonts w:ascii="Calibri" w:cs="Calibri" w:eastAsia="Calibri" w:hAnsi="Calibri"/>
          <w:sz w:val="20"/>
          <w:szCs w:val="20"/>
          <w:color w:val="auto"/>
        </w:rPr>
        <w:t>Columbia, MO 65202</w:t>
      </w:r>
    </w:p>
    <w:p>
      <w:pPr>
        <w:spacing w:after="0" w:line="12" w:lineRule="exact"/>
        <w:rPr>
          <w:sz w:val="20"/>
          <w:szCs w:val="20"/>
          <w:color w:val="auto"/>
        </w:rPr>
      </w:pPr>
    </w:p>
    <w:p>
      <w:pPr>
        <w:jc w:val="right"/>
        <w:ind w:right="20"/>
        <w:spacing w:after="0"/>
        <w:rPr>
          <w:sz w:val="20"/>
          <w:szCs w:val="20"/>
          <w:color w:val="auto"/>
        </w:rPr>
      </w:pPr>
      <w:r>
        <w:rPr>
          <w:rFonts w:ascii="Calibri" w:cs="Calibri" w:eastAsia="Calibri" w:hAnsi="Calibri"/>
          <w:sz w:val="20"/>
          <w:szCs w:val="20"/>
          <w:color w:val="auto"/>
        </w:rPr>
        <w:t>(800) 338-9585</w:t>
      </w:r>
    </w:p>
    <w:p>
      <w:pPr>
        <w:spacing w:after="0" w:line="12" w:lineRule="exact"/>
        <w:rPr>
          <w:sz w:val="20"/>
          <w:szCs w:val="20"/>
          <w:color w:val="auto"/>
        </w:rPr>
      </w:pPr>
    </w:p>
    <w:p>
      <w:pPr>
        <w:jc w:val="right"/>
        <w:ind w:right="20"/>
        <w:spacing w:after="0"/>
        <w:rPr>
          <w:sz w:val="20"/>
          <w:szCs w:val="20"/>
          <w:color w:val="auto"/>
        </w:rPr>
      </w:pPr>
      <w:r>
        <w:rPr>
          <w:rFonts w:ascii="Calibri" w:cs="Calibri" w:eastAsia="Calibri" w:hAnsi="Calibri"/>
          <w:sz w:val="20"/>
          <w:szCs w:val="20"/>
          <w:color w:val="auto"/>
        </w:rPr>
        <w:t>NASDAQ: AOUT</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Calibri" w:cs="Calibri" w:eastAsia="Calibri" w:hAnsi="Calibri"/>
          <w:sz w:val="20"/>
          <w:szCs w:val="20"/>
          <w:color w:val="auto"/>
        </w:rPr>
        <w:t>Contact:</w:t>
      </w:r>
    </w:p>
    <w:p>
      <w:pPr>
        <w:spacing w:after="0" w:line="238" w:lineRule="auto"/>
        <w:rPr>
          <w:sz w:val="20"/>
          <w:szCs w:val="20"/>
          <w:color w:val="auto"/>
        </w:rPr>
      </w:pPr>
      <w:r>
        <w:rPr>
          <w:rFonts w:ascii="Calibri" w:cs="Calibri" w:eastAsia="Calibri" w:hAnsi="Calibri"/>
          <w:sz w:val="20"/>
          <w:szCs w:val="20"/>
          <w:color w:val="auto"/>
        </w:rPr>
        <w:t>Liz Sharp, VP, Investor Relatons</w:t>
      </w:r>
    </w:p>
    <w:p>
      <w:pPr>
        <w:spacing w:after="0"/>
        <w:rPr>
          <w:sz w:val="20"/>
          <w:szCs w:val="20"/>
          <w:color w:val="auto"/>
        </w:rPr>
      </w:pPr>
      <w:r>
        <w:rPr>
          <w:rFonts w:ascii="Calibri" w:cs="Calibri" w:eastAsia="Calibri" w:hAnsi="Calibri"/>
          <w:sz w:val="20"/>
          <w:szCs w:val="20"/>
          <w:u w:val="single" w:color="auto"/>
          <w:color w:val="auto"/>
        </w:rPr>
        <w:t>lsharp@aob.com</w:t>
      </w:r>
    </w:p>
    <w:p>
      <w:pPr>
        <w:spacing w:after="0" w:line="238" w:lineRule="auto"/>
        <w:rPr>
          <w:sz w:val="20"/>
          <w:szCs w:val="20"/>
          <w:color w:val="auto"/>
        </w:rPr>
      </w:pPr>
      <w:r>
        <w:rPr>
          <w:rFonts w:ascii="Calibri" w:cs="Calibri" w:eastAsia="Calibri" w:hAnsi="Calibri"/>
          <w:sz w:val="20"/>
          <w:szCs w:val="20"/>
          <w:color w:val="auto"/>
        </w:rPr>
        <w:t>(573) 303-4620</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520" w:type="dxa"/>
        <w:tblCellMar>
          <w:top w:w="0" w:type="dxa"/>
          <w:left w:w="0" w:type="dxa"/>
          <w:bottom w:w="0" w:type="dxa"/>
          <w:right w:w="0" w:type="dxa"/>
        </w:tblCellMar>
      </w:tblPr>
      <w:tr>
        <w:trPr>
          <w:trHeight w:val="391"/>
        </w:trPr>
        <w:tc>
          <w:tcPr>
            <w:tcW w:w="1200" w:type="dxa"/>
            <w:vAlign w:val="bottom"/>
          </w:tcPr>
          <w:p>
            <w:pPr>
              <w:spacing w:after="0"/>
              <w:rPr>
                <w:sz w:val="24"/>
                <w:szCs w:val="24"/>
                <w:color w:val="auto"/>
              </w:rPr>
            </w:pPr>
          </w:p>
        </w:tc>
        <w:tc>
          <w:tcPr>
            <w:tcW w:w="6680" w:type="dxa"/>
            <w:vAlign w:val="bottom"/>
          </w:tcPr>
          <w:p>
            <w:pPr>
              <w:jc w:val="center"/>
              <w:ind w:left="1023"/>
              <w:spacing w:after="0"/>
              <w:rPr>
                <w:sz w:val="20"/>
                <w:szCs w:val="20"/>
                <w:color w:val="auto"/>
              </w:rPr>
            </w:pPr>
            <w:r>
              <w:rPr>
                <w:rFonts w:ascii="Calibri" w:cs="Calibri" w:eastAsia="Calibri" w:hAnsi="Calibri"/>
                <w:sz w:val="32"/>
                <w:szCs w:val="32"/>
                <w:b w:val="1"/>
                <w:bCs w:val="1"/>
                <w:color w:val="auto"/>
              </w:rPr>
              <w:t>American Outdoor Brands, Inc. Reports</w:t>
            </w:r>
          </w:p>
        </w:tc>
      </w:tr>
      <w:tr>
        <w:trPr>
          <w:trHeight w:val="392"/>
        </w:trPr>
        <w:tc>
          <w:tcPr>
            <w:tcW w:w="1200" w:type="dxa"/>
            <w:vAlign w:val="bottom"/>
          </w:tcPr>
          <w:p>
            <w:pPr>
              <w:spacing w:after="0"/>
              <w:rPr>
                <w:sz w:val="24"/>
                <w:szCs w:val="24"/>
                <w:color w:val="auto"/>
              </w:rPr>
            </w:pPr>
          </w:p>
        </w:tc>
        <w:tc>
          <w:tcPr>
            <w:tcW w:w="6680" w:type="dxa"/>
            <w:vAlign w:val="bottom"/>
          </w:tcPr>
          <w:p>
            <w:pPr>
              <w:jc w:val="center"/>
              <w:ind w:left="1023"/>
              <w:spacing w:after="0"/>
              <w:rPr>
                <w:sz w:val="20"/>
                <w:szCs w:val="20"/>
                <w:color w:val="auto"/>
              </w:rPr>
            </w:pPr>
            <w:r>
              <w:rPr>
                <w:rFonts w:ascii="Calibri" w:cs="Calibri" w:eastAsia="Calibri" w:hAnsi="Calibri"/>
                <w:sz w:val="32"/>
                <w:szCs w:val="32"/>
                <w:b w:val="1"/>
                <w:bCs w:val="1"/>
                <w:color w:val="auto"/>
              </w:rPr>
              <w:t>First Quarter Fiscal 2025 Financial Results</w:t>
            </w:r>
          </w:p>
        </w:tc>
      </w:tr>
      <w:tr>
        <w:trPr>
          <w:trHeight w:val="655"/>
        </w:trPr>
        <w:tc>
          <w:tcPr>
            <w:tcW w:w="120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6680" w:type="dxa"/>
            <w:vAlign w:val="bottom"/>
          </w:tcPr>
          <w:p>
            <w:pPr>
              <w:ind w:left="3380"/>
              <w:spacing w:after="0"/>
              <w:rPr>
                <w:sz w:val="20"/>
                <w:szCs w:val="20"/>
                <w:color w:val="auto"/>
              </w:rPr>
            </w:pPr>
            <w:r>
              <w:rPr>
                <w:rFonts w:ascii="Calibri" w:cs="Calibri" w:eastAsia="Calibri" w:hAnsi="Calibri"/>
                <w:sz w:val="20"/>
                <w:szCs w:val="20"/>
                <w:b w:val="1"/>
                <w:bCs w:val="1"/>
                <w:i w:val="1"/>
                <w:iCs w:val="1"/>
                <w:color w:val="auto"/>
              </w:rPr>
              <w:t>Net Sales $41.6 Million</w:t>
            </w:r>
          </w:p>
        </w:tc>
      </w:tr>
      <w:tr>
        <w:trPr>
          <w:trHeight w:val="364"/>
        </w:trPr>
        <w:tc>
          <w:tcPr>
            <w:tcW w:w="120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6680" w:type="dxa"/>
            <w:vAlign w:val="bottom"/>
          </w:tcPr>
          <w:p>
            <w:pPr>
              <w:jc w:val="center"/>
              <w:ind w:left="2023"/>
              <w:spacing w:after="0"/>
              <w:rPr>
                <w:sz w:val="20"/>
                <w:szCs w:val="20"/>
                <w:color w:val="auto"/>
              </w:rPr>
            </w:pPr>
            <w:r>
              <w:rPr>
                <w:rFonts w:ascii="Calibri" w:cs="Calibri" w:eastAsia="Calibri" w:hAnsi="Calibri"/>
                <w:sz w:val="20"/>
                <w:szCs w:val="20"/>
                <w:b w:val="1"/>
                <w:bCs w:val="1"/>
                <w:i w:val="1"/>
                <w:iCs w:val="1"/>
                <w:color w:val="auto"/>
              </w:rPr>
              <w:t>GAAP Gross Margin 45.4%</w:t>
            </w:r>
          </w:p>
        </w:tc>
      </w:tr>
      <w:tr>
        <w:trPr>
          <w:trHeight w:val="365"/>
        </w:trPr>
        <w:tc>
          <w:tcPr>
            <w:tcW w:w="120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6680" w:type="dxa"/>
            <w:vAlign w:val="bottom"/>
          </w:tcPr>
          <w:p>
            <w:pPr>
              <w:jc w:val="center"/>
              <w:ind w:left="2023"/>
              <w:spacing w:after="0"/>
              <w:rPr>
                <w:sz w:val="20"/>
                <w:szCs w:val="20"/>
                <w:color w:val="auto"/>
              </w:rPr>
            </w:pPr>
            <w:r>
              <w:rPr>
                <w:rFonts w:ascii="Calibri" w:cs="Calibri" w:eastAsia="Calibri" w:hAnsi="Calibri"/>
                <w:sz w:val="20"/>
                <w:szCs w:val="20"/>
                <w:b w:val="1"/>
                <w:bCs w:val="1"/>
                <w:i w:val="1"/>
                <w:iCs w:val="1"/>
                <w:color w:val="auto"/>
              </w:rPr>
              <w:t>Traditonal Channel Sales $25.1 Million</w:t>
            </w:r>
          </w:p>
        </w:tc>
      </w:tr>
      <w:tr>
        <w:trPr>
          <w:trHeight w:val="364"/>
        </w:trPr>
        <w:tc>
          <w:tcPr>
            <w:tcW w:w="120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6680" w:type="dxa"/>
            <w:vAlign w:val="bottom"/>
          </w:tcPr>
          <w:p>
            <w:pPr>
              <w:jc w:val="center"/>
              <w:ind w:left="2023"/>
              <w:spacing w:after="0"/>
              <w:rPr>
                <w:sz w:val="20"/>
                <w:szCs w:val="20"/>
                <w:color w:val="auto"/>
              </w:rPr>
            </w:pPr>
            <w:r>
              <w:rPr>
                <w:rFonts w:ascii="Calibri" w:cs="Calibri" w:eastAsia="Calibri" w:hAnsi="Calibri"/>
                <w:sz w:val="20"/>
                <w:szCs w:val="20"/>
                <w:b w:val="1"/>
                <w:bCs w:val="1"/>
                <w:i w:val="1"/>
                <w:iCs w:val="1"/>
                <w:color w:val="auto"/>
              </w:rPr>
              <w:t>E-Commerce Channel Sales $16.5 Million</w:t>
            </w:r>
          </w:p>
        </w:tc>
      </w:tr>
      <w:tr>
        <w:trPr>
          <w:trHeight w:val="365"/>
        </w:trPr>
        <w:tc>
          <w:tcPr>
            <w:tcW w:w="120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6680" w:type="dxa"/>
            <w:vAlign w:val="bottom"/>
          </w:tcPr>
          <w:p>
            <w:pPr>
              <w:jc w:val="center"/>
              <w:ind w:left="2023"/>
              <w:spacing w:after="0"/>
              <w:rPr>
                <w:sz w:val="20"/>
                <w:szCs w:val="20"/>
                <w:color w:val="auto"/>
              </w:rPr>
            </w:pPr>
            <w:r>
              <w:rPr>
                <w:rFonts w:ascii="Calibri" w:cs="Calibri" w:eastAsia="Calibri" w:hAnsi="Calibri"/>
                <w:sz w:val="20"/>
                <w:szCs w:val="20"/>
                <w:b w:val="1"/>
                <w:bCs w:val="1"/>
                <w:i w:val="1"/>
                <w:iCs w:val="1"/>
                <w:color w:val="auto"/>
              </w:rPr>
              <w:t>Internatonal Net Sales $4.4 Million – Up 21%</w:t>
            </w:r>
          </w:p>
        </w:tc>
      </w:tr>
    </w:tbl>
    <w:p>
      <w:pPr>
        <w:spacing w:after="0" w:line="348" w:lineRule="exact"/>
        <w:rPr>
          <w:sz w:val="20"/>
          <w:szCs w:val="20"/>
          <w:color w:val="auto"/>
        </w:rPr>
      </w:pPr>
    </w:p>
    <w:p>
      <w:pPr>
        <w:jc w:val="both"/>
        <w:ind w:right="20"/>
        <w:spacing w:after="0" w:line="236" w:lineRule="auto"/>
        <w:rPr>
          <w:sz w:val="20"/>
          <w:szCs w:val="20"/>
          <w:color w:val="auto"/>
        </w:rPr>
      </w:pPr>
      <w:r>
        <w:rPr>
          <w:rFonts w:ascii="Calibri" w:cs="Calibri" w:eastAsia="Calibri" w:hAnsi="Calibri"/>
          <w:sz w:val="20"/>
          <w:szCs w:val="20"/>
          <w:b w:val="1"/>
          <w:bCs w:val="1"/>
          <w:color w:val="auto"/>
        </w:rPr>
        <w:t>COLUMBIA, Mo., September 5, 2024 – American Outdoor Brands, Inc. (NASDAQ Global Select: AOUT)</w:t>
      </w:r>
      <w:r>
        <w:rPr>
          <w:rFonts w:ascii="Calibri" w:cs="Calibri" w:eastAsia="Calibri" w:hAnsi="Calibri"/>
          <w:sz w:val="20"/>
          <w:szCs w:val="20"/>
          <w:color w:val="auto"/>
        </w:rPr>
        <w:t>, an innovaton company that</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provides product solutons for outdoor enthusiasts, today announced fnancial results for the frst quarter of fscal 2025 ended July 31, 2024.</w:t>
      </w:r>
    </w:p>
    <w:p>
      <w:pPr>
        <w:spacing w:after="0" w:line="242" w:lineRule="exact"/>
        <w:rPr>
          <w:sz w:val="20"/>
          <w:szCs w:val="20"/>
          <w:color w:val="auto"/>
        </w:rPr>
      </w:pPr>
    </w:p>
    <w:p>
      <w:pPr>
        <w:spacing w:after="0"/>
        <w:rPr>
          <w:sz w:val="20"/>
          <w:szCs w:val="20"/>
          <w:color w:val="auto"/>
        </w:rPr>
      </w:pPr>
      <w:r>
        <w:rPr>
          <w:rFonts w:ascii="Calibri" w:cs="Calibri" w:eastAsia="Calibri" w:hAnsi="Calibri"/>
          <w:sz w:val="20"/>
          <w:szCs w:val="20"/>
          <w:b w:val="1"/>
          <w:bCs w:val="1"/>
          <w:u w:val="single" w:color="auto"/>
          <w:color w:val="auto"/>
        </w:rPr>
        <w:t>First Quarter Fiscal 2025 Financial Highlights</w:t>
      </w:r>
    </w:p>
    <w:p>
      <w:pPr>
        <w:spacing w:after="0" w:line="130" w:lineRule="exact"/>
        <w:rPr>
          <w:sz w:val="20"/>
          <w:szCs w:val="20"/>
          <w:color w:val="auto"/>
        </w:rPr>
      </w:pPr>
    </w:p>
    <w:p>
      <w:pPr>
        <w:ind w:left="1020" w:hanging="503"/>
        <w:spacing w:after="0" w:line="234" w:lineRule="auto"/>
        <w:tabs>
          <w:tab w:leader="none" w:pos="1020" w:val="left"/>
        </w:tabs>
        <w:numPr>
          <w:ilvl w:val="0"/>
          <w:numId w:val="3"/>
        </w:numPr>
        <w:rPr>
          <w:rFonts w:ascii="Times New Roman" w:cs="Times New Roman" w:eastAsia="Times New Roman" w:hAnsi="Times New Roman"/>
          <w:sz w:val="20"/>
          <w:szCs w:val="20"/>
          <w:color w:val="auto"/>
        </w:rPr>
      </w:pPr>
      <w:r>
        <w:rPr>
          <w:rFonts w:ascii="Calibri" w:cs="Calibri" w:eastAsia="Calibri" w:hAnsi="Calibri"/>
          <w:sz w:val="20"/>
          <w:szCs w:val="20"/>
          <w:color w:val="auto"/>
        </w:rPr>
        <w:t>Quarterly net sales were $41.6 million, a decrease of $1.8 million, or 4.1%, compared with net sales of $43.4 million for the prior year.</w:t>
      </w:r>
    </w:p>
    <w:p>
      <w:pPr>
        <w:spacing w:after="0" w:line="131" w:lineRule="exact"/>
        <w:rPr>
          <w:rFonts w:ascii="Times New Roman" w:cs="Times New Roman" w:eastAsia="Times New Roman" w:hAnsi="Times New Roman"/>
          <w:sz w:val="20"/>
          <w:szCs w:val="20"/>
          <w:color w:val="auto"/>
        </w:rPr>
      </w:pPr>
    </w:p>
    <w:p>
      <w:pPr>
        <w:jc w:val="both"/>
        <w:ind w:left="1020" w:hanging="503"/>
        <w:spacing w:after="0"/>
        <w:tabs>
          <w:tab w:leader="none" w:pos="1020" w:val="left"/>
        </w:tabs>
        <w:numPr>
          <w:ilvl w:val="0"/>
          <w:numId w:val="3"/>
        </w:numPr>
        <w:rPr>
          <w:rFonts w:ascii="Times New Roman" w:cs="Times New Roman" w:eastAsia="Times New Roman" w:hAnsi="Times New Roman"/>
          <w:sz w:val="20"/>
          <w:szCs w:val="20"/>
          <w:color w:val="auto"/>
        </w:rPr>
      </w:pPr>
      <w:r>
        <w:rPr>
          <w:rFonts w:ascii="Calibri" w:cs="Calibri" w:eastAsia="Calibri" w:hAnsi="Calibri"/>
          <w:sz w:val="20"/>
          <w:szCs w:val="20"/>
          <w:color w:val="auto"/>
        </w:rPr>
        <w:t>Quarterly gross margin was 45.4%, consistent with quarterly gross margin of 45.4% for the comparable quarter last year. Non-GAAP gross margin for the quarter was 46.0%. For a detailed reconciliaton, see the schedules that follow in this release.</w:t>
      </w:r>
    </w:p>
    <w:p>
      <w:pPr>
        <w:spacing w:after="0" w:line="362" w:lineRule="exact"/>
        <w:rPr>
          <w:rFonts w:ascii="Times New Roman" w:cs="Times New Roman" w:eastAsia="Times New Roman" w:hAnsi="Times New Roman"/>
          <w:sz w:val="20"/>
          <w:szCs w:val="20"/>
          <w:color w:val="auto"/>
        </w:rPr>
      </w:pPr>
    </w:p>
    <w:p>
      <w:pPr>
        <w:ind w:left="1020" w:hanging="503"/>
        <w:spacing w:after="0" w:line="234" w:lineRule="auto"/>
        <w:tabs>
          <w:tab w:leader="none" w:pos="1020" w:val="left"/>
        </w:tabs>
        <w:numPr>
          <w:ilvl w:val="0"/>
          <w:numId w:val="3"/>
        </w:numPr>
        <w:rPr>
          <w:rFonts w:ascii="Times New Roman" w:cs="Times New Roman" w:eastAsia="Times New Roman" w:hAnsi="Times New Roman"/>
          <w:sz w:val="20"/>
          <w:szCs w:val="20"/>
          <w:color w:val="auto"/>
        </w:rPr>
      </w:pPr>
      <w:r>
        <w:rPr>
          <w:rFonts w:ascii="Calibri" w:cs="Calibri" w:eastAsia="Calibri" w:hAnsi="Calibri"/>
          <w:sz w:val="20"/>
          <w:szCs w:val="20"/>
          <w:color w:val="auto"/>
        </w:rPr>
        <w:t>Quarterly GAAP net loss was $2.4 million, or ($0.18) per diluted share, compared with a GAAP net loss of $4.1 million, or ($0.31) per diluted share, last year.</w:t>
      </w:r>
    </w:p>
    <w:p>
      <w:pPr>
        <w:spacing w:after="0" w:line="131" w:lineRule="exact"/>
        <w:rPr>
          <w:rFonts w:ascii="Times New Roman" w:cs="Times New Roman" w:eastAsia="Times New Roman" w:hAnsi="Times New Roman"/>
          <w:sz w:val="20"/>
          <w:szCs w:val="20"/>
          <w:color w:val="auto"/>
        </w:rPr>
      </w:pPr>
    </w:p>
    <w:p>
      <w:pPr>
        <w:jc w:val="both"/>
        <w:ind w:left="1020" w:hanging="503"/>
        <w:spacing w:after="0" w:line="236" w:lineRule="auto"/>
        <w:tabs>
          <w:tab w:leader="none" w:pos="1020" w:val="left"/>
        </w:tabs>
        <w:numPr>
          <w:ilvl w:val="0"/>
          <w:numId w:val="3"/>
        </w:numPr>
        <w:rPr>
          <w:rFonts w:ascii="Times New Roman" w:cs="Times New Roman" w:eastAsia="Times New Roman" w:hAnsi="Times New Roman"/>
          <w:sz w:val="20"/>
          <w:szCs w:val="20"/>
          <w:color w:val="auto"/>
        </w:rPr>
      </w:pPr>
      <w:r>
        <w:rPr>
          <w:rFonts w:ascii="Calibri" w:cs="Calibri" w:eastAsia="Calibri" w:hAnsi="Calibri"/>
          <w:sz w:val="20"/>
          <w:szCs w:val="20"/>
          <w:color w:val="auto"/>
        </w:rPr>
        <w:t>Quarterly non-GAAP net income was $748,000 or $0.06 per diluted share, compared with non-GAAP net income of $98,000, or $0.01 per diluted share, last year. GAAP to non-GAAP adjustments for net income exclude acquired intangible amortzaton, stock compensaton, non-recurring inventory reserve costs, technology implementaton, and other costs. For a detailed reconciliaton, see the schedules that follow in this release.</w:t>
      </w:r>
    </w:p>
    <w:p>
      <w:pPr>
        <w:spacing w:after="0" w:line="133" w:lineRule="exact"/>
        <w:rPr>
          <w:rFonts w:ascii="Times New Roman" w:cs="Times New Roman" w:eastAsia="Times New Roman" w:hAnsi="Times New Roman"/>
          <w:sz w:val="20"/>
          <w:szCs w:val="20"/>
          <w:color w:val="auto"/>
        </w:rPr>
      </w:pPr>
    </w:p>
    <w:p>
      <w:pPr>
        <w:ind w:left="1020" w:hanging="503"/>
        <w:spacing w:after="0" w:line="234" w:lineRule="auto"/>
        <w:tabs>
          <w:tab w:leader="none" w:pos="1020" w:val="left"/>
        </w:tabs>
        <w:numPr>
          <w:ilvl w:val="0"/>
          <w:numId w:val="3"/>
        </w:numPr>
        <w:rPr>
          <w:rFonts w:ascii="Times New Roman" w:cs="Times New Roman" w:eastAsia="Times New Roman" w:hAnsi="Times New Roman"/>
          <w:sz w:val="20"/>
          <w:szCs w:val="20"/>
          <w:color w:val="auto"/>
        </w:rPr>
      </w:pPr>
      <w:r>
        <w:rPr>
          <w:rFonts w:ascii="Calibri" w:cs="Calibri" w:eastAsia="Calibri" w:hAnsi="Calibri"/>
          <w:sz w:val="20"/>
          <w:szCs w:val="20"/>
          <w:color w:val="auto"/>
        </w:rPr>
        <w:t>Quarterly Adjusted EBITDAS was $2.0 million, or 4.8% of net sales, compared with Adjusted EBITDAS of $1.1 million, or 2.6% of net sales, for the prior year. For a detailed reconciliaton, see the schedules that follow in this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789305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4" w:name="page5"/>
    <w:bookmarkEnd w:id="4"/>
    <w:p>
      <w:pPr>
        <w:jc w:val="right"/>
        <w:ind w:right="20"/>
        <w:spacing w:after="0"/>
        <w:rPr>
          <w:sz w:val="20"/>
          <w:szCs w:val="20"/>
          <w:color w:val="auto"/>
        </w:rPr>
      </w:pPr>
      <w:r>
        <w:rPr>
          <w:rFonts w:ascii="Calibri" w:cs="Calibri" w:eastAsia="Calibri" w:hAnsi="Calibri"/>
          <w:sz w:val="20"/>
          <w:szCs w:val="20"/>
          <w:color w:val="auto"/>
        </w:rPr>
        <w:t>1800 N Route 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-132715</wp:posOffset>
            </wp:positionV>
            <wp:extent cx="3145790" cy="5143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145790" cy="514350"/>
                    </a:xfrm>
                    <a:prstGeom prst="rect">
                      <a:avLst/>
                    </a:prstGeom>
                    <a:noFill/>
                  </pic:spPr>
                </pic:pic>
              </a:graphicData>
            </a:graphic>
          </wp:anchor>
        </w:drawing>
      </w:r>
    </w:p>
    <w:p>
      <w:pPr>
        <w:jc w:val="right"/>
        <w:ind w:right="20"/>
        <w:spacing w:after="0"/>
        <w:rPr>
          <w:sz w:val="20"/>
          <w:szCs w:val="20"/>
          <w:color w:val="auto"/>
        </w:rPr>
      </w:pPr>
      <w:r>
        <w:rPr>
          <w:rFonts w:ascii="Calibri" w:cs="Calibri" w:eastAsia="Calibri" w:hAnsi="Calibri"/>
          <w:sz w:val="20"/>
          <w:szCs w:val="20"/>
          <w:color w:val="auto"/>
        </w:rPr>
        <w:t>Columbia, MO 65202</w:t>
      </w:r>
    </w:p>
    <w:p>
      <w:pPr>
        <w:spacing w:after="0" w:line="12" w:lineRule="exact"/>
        <w:rPr>
          <w:sz w:val="20"/>
          <w:szCs w:val="20"/>
          <w:color w:val="auto"/>
        </w:rPr>
      </w:pPr>
    </w:p>
    <w:p>
      <w:pPr>
        <w:jc w:val="right"/>
        <w:ind w:right="20"/>
        <w:spacing w:after="0"/>
        <w:rPr>
          <w:sz w:val="20"/>
          <w:szCs w:val="20"/>
          <w:color w:val="auto"/>
        </w:rPr>
      </w:pPr>
      <w:r>
        <w:rPr>
          <w:rFonts w:ascii="Calibri" w:cs="Calibri" w:eastAsia="Calibri" w:hAnsi="Calibri"/>
          <w:sz w:val="20"/>
          <w:szCs w:val="20"/>
          <w:color w:val="auto"/>
        </w:rPr>
        <w:t>(800) 338-9585</w:t>
      </w:r>
    </w:p>
    <w:p>
      <w:pPr>
        <w:spacing w:after="0" w:line="12" w:lineRule="exact"/>
        <w:rPr>
          <w:sz w:val="20"/>
          <w:szCs w:val="20"/>
          <w:color w:val="auto"/>
        </w:rPr>
      </w:pPr>
    </w:p>
    <w:p>
      <w:pPr>
        <w:jc w:val="right"/>
        <w:ind w:right="20"/>
        <w:spacing w:after="0"/>
        <w:rPr>
          <w:sz w:val="20"/>
          <w:szCs w:val="20"/>
          <w:color w:val="auto"/>
        </w:rPr>
      </w:pPr>
      <w:r>
        <w:rPr>
          <w:rFonts w:ascii="Calibri" w:cs="Calibri" w:eastAsia="Calibri" w:hAnsi="Calibri"/>
          <w:sz w:val="20"/>
          <w:szCs w:val="20"/>
          <w:color w:val="auto"/>
        </w:rPr>
        <w:t>NASDAQ: AOUT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color w:val="auto"/>
        </w:rPr>
        <w:t>Brian Murphy, President and Chief Executve Ofcer, said, “Net sales results for our frst quarter came in as expected, declining slightly year-over-year, driven by a combinaton of order tming and recent trends in certain consumer markets. Nevertheless, I am pleased with our performance, which included a signifcant increase of more than 76% in Adjusted EBITDAS, and refected a consumer preference for innovatve products from our popular brands in Outdoor Lifestyle and Shootng Sports categories. New product innovaton and expanded distributon opportunites are core to our long-term growth strategy, and both played a key role in our frst quarter results.</w:t>
      </w:r>
    </w:p>
    <w:p>
      <w:pPr>
        <w:spacing w:after="0" w:line="253"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color w:val="auto"/>
        </w:rPr>
        <w:t>“Innovaton allows us to forge strong relatonships with our consumers and retailers and expand our access to new markets. New products launched within the past 24 months generated 23% of our net sales in the frst quarter. In Outdoor Lifestyle, new products from our BOG and BUBBA brands, including our Smart Fish Scale, delivered strong huntng and fshing performance and helped to largely ofset sofness in outdoor cooking and rugged outdoor. In Shootng Sports, new products from our Caldwell Claymore family, including our Solo and PullPup clay target throwers, drove strength in shootng accessories and helped partally ofset weakness in personal protecton products, which is refectve of recent trends in that market. We believe our consumer is resilient, and with innovaton as our growth engine, we are excited about the new products we have in store and the future growth they can fuel.</w:t>
      </w:r>
    </w:p>
    <w:p>
      <w:pPr>
        <w:spacing w:after="0" w:line="256"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color w:val="auto"/>
        </w:rPr>
        <w:t>“Expanded distributon opportunites are also a key part of our growth strategy and during the quarter we remained focused on ensuring our brands are increasingly accessible to a broad audience of consumers, both domestcally and internatonally. Accordingly, our eforts to introduce more of our brands to Canadian consumers helped deliver internatonal net sales of $4.4 million, comprising over 10% of our net sales in the quarter and representng growth of over 21%. These results demonstrate the tremendous potental the internatonal market holds for our brands,” concluded Murphy.</w:t>
      </w:r>
    </w:p>
    <w:p>
      <w:pPr>
        <w:spacing w:after="0" w:line="253"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color w:val="auto"/>
        </w:rPr>
        <w:t>Andrew Fulmer, Chief Financial Ofcer, said, “Our balance sheet remained strong in the frst quarter, and we contnued to demonstrate disciplined capital management. We ended the quarter with $23.5 million in cash and no debt afer replenishing our inventories in preparaton for the fall huntng and holiday seasons, and afer repurchasing our common stock during the quarter. We remain excited about the opportunites that lie ahead for fscal 2025 and beyond. While we antcipate that headwinds in the Shootng Sports category may contnue, we believe that our initatves to drive channel expansion, combined with our robust new product pipeline, will help deliver growth in our Outdoor Lifestyle category. Therefore, we contnue to believe that we remain well positoned to deliver growth in both net sales and proftability in fscal 2025.”</w:t>
      </w:r>
    </w:p>
    <w:p>
      <w:pPr>
        <w:spacing w:after="0" w:line="247" w:lineRule="exact"/>
        <w:rPr>
          <w:sz w:val="20"/>
          <w:szCs w:val="20"/>
          <w:color w:val="auto"/>
        </w:rPr>
      </w:pPr>
    </w:p>
    <w:p>
      <w:pPr>
        <w:spacing w:after="0"/>
        <w:rPr>
          <w:sz w:val="20"/>
          <w:szCs w:val="20"/>
          <w:color w:val="auto"/>
        </w:rPr>
      </w:pPr>
      <w:r>
        <w:rPr>
          <w:rFonts w:ascii="Calibri" w:cs="Calibri" w:eastAsia="Calibri" w:hAnsi="Calibri"/>
          <w:sz w:val="20"/>
          <w:szCs w:val="20"/>
          <w:b w:val="1"/>
          <w:bCs w:val="1"/>
          <w:u w:val="single" w:color="auto"/>
          <w:color w:val="auto"/>
        </w:rPr>
        <w:t>Conference Call and Webcast</w:t>
      </w:r>
    </w:p>
    <w:p>
      <w:pPr>
        <w:spacing w:after="0" w:line="9" w:lineRule="exact"/>
        <w:rPr>
          <w:sz w:val="20"/>
          <w:szCs w:val="20"/>
          <w:color w:val="auto"/>
        </w:rPr>
      </w:pPr>
    </w:p>
    <w:p>
      <w:pPr>
        <w:jc w:val="both"/>
        <w:spacing w:after="0"/>
        <w:rPr>
          <w:sz w:val="20"/>
          <w:szCs w:val="20"/>
          <w:color w:val="auto"/>
        </w:rPr>
      </w:pPr>
      <w:r>
        <w:rPr>
          <w:rFonts w:ascii="Calibri" w:cs="Calibri" w:eastAsia="Calibri" w:hAnsi="Calibri"/>
          <w:sz w:val="20"/>
          <w:szCs w:val="20"/>
          <w:color w:val="auto"/>
        </w:rPr>
        <w:t>The Company will host a conference call and webcast today, September 5, 2024, to discuss its frst quarter fscal 2025 fnancial and operatonal results. Speakers on the conference call will include Brian Murphy, President and Chief Executve Ofcer, and Andrew Fulmer, Chief Financial Ofcer. The conference call may include forward-looking statements and a discussion of non-GAAP fnancial measures. The conference call and webcast will begin at 5:00 p.m. Eastern Time (2:00 p.m. Pacifc Time). Those interested in listening to the conference call via telephone may call directly at (833) 630-1956 and ask to join the American Outdoor Brands call. No RSVP is necessary. The conference call audio webcast can also be accessed live on the Company's website at aob.com, under the Investor Relatons secton.</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Calibri" w:cs="Calibri" w:eastAsia="Calibri" w:hAnsi="Calibri"/>
          <w:sz w:val="20"/>
          <w:szCs w:val="20"/>
          <w:b w:val="1"/>
          <w:bCs w:val="1"/>
          <w:u w:val="single" w:color="auto"/>
          <w:color w:val="auto"/>
        </w:rPr>
        <w:t>Reconciliaton of U.S. GAAP to 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650875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5" w:name="page6"/>
    <w:bookmarkEnd w:id="5"/>
    <w:p>
      <w:pPr>
        <w:jc w:val="right"/>
        <w:ind w:right="20"/>
        <w:spacing w:after="0"/>
        <w:rPr>
          <w:sz w:val="20"/>
          <w:szCs w:val="20"/>
          <w:color w:val="auto"/>
        </w:rPr>
      </w:pPr>
      <w:r>
        <w:rPr>
          <w:rFonts w:ascii="Calibri" w:cs="Calibri" w:eastAsia="Calibri" w:hAnsi="Calibri"/>
          <w:sz w:val="20"/>
          <w:szCs w:val="20"/>
          <w:color w:val="auto"/>
        </w:rPr>
        <w:t>1800 N Route 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-132715</wp:posOffset>
            </wp:positionV>
            <wp:extent cx="3145790" cy="5143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145790" cy="514350"/>
                    </a:xfrm>
                    <a:prstGeom prst="rect">
                      <a:avLst/>
                    </a:prstGeom>
                    <a:noFill/>
                  </pic:spPr>
                </pic:pic>
              </a:graphicData>
            </a:graphic>
          </wp:anchor>
        </w:drawing>
      </w:r>
    </w:p>
    <w:p>
      <w:pPr>
        <w:jc w:val="right"/>
        <w:ind w:right="20"/>
        <w:spacing w:after="0"/>
        <w:rPr>
          <w:sz w:val="20"/>
          <w:szCs w:val="20"/>
          <w:color w:val="auto"/>
        </w:rPr>
      </w:pPr>
      <w:r>
        <w:rPr>
          <w:rFonts w:ascii="Calibri" w:cs="Calibri" w:eastAsia="Calibri" w:hAnsi="Calibri"/>
          <w:sz w:val="20"/>
          <w:szCs w:val="20"/>
          <w:color w:val="auto"/>
        </w:rPr>
        <w:t>Columbia, MO 65202</w:t>
      </w:r>
    </w:p>
    <w:p>
      <w:pPr>
        <w:spacing w:after="0" w:line="12" w:lineRule="exact"/>
        <w:rPr>
          <w:sz w:val="20"/>
          <w:szCs w:val="20"/>
          <w:color w:val="auto"/>
        </w:rPr>
      </w:pPr>
    </w:p>
    <w:p>
      <w:pPr>
        <w:jc w:val="right"/>
        <w:ind w:right="20"/>
        <w:spacing w:after="0"/>
        <w:rPr>
          <w:sz w:val="20"/>
          <w:szCs w:val="20"/>
          <w:color w:val="auto"/>
        </w:rPr>
      </w:pPr>
      <w:r>
        <w:rPr>
          <w:rFonts w:ascii="Calibri" w:cs="Calibri" w:eastAsia="Calibri" w:hAnsi="Calibri"/>
          <w:sz w:val="20"/>
          <w:szCs w:val="20"/>
          <w:color w:val="auto"/>
        </w:rPr>
        <w:t>(800) 338-9585</w:t>
      </w:r>
    </w:p>
    <w:p>
      <w:pPr>
        <w:spacing w:after="0" w:line="12" w:lineRule="exact"/>
        <w:rPr>
          <w:sz w:val="20"/>
          <w:szCs w:val="20"/>
          <w:color w:val="auto"/>
        </w:rPr>
      </w:pPr>
    </w:p>
    <w:p>
      <w:pPr>
        <w:jc w:val="right"/>
        <w:ind w:right="20"/>
        <w:spacing w:after="0"/>
        <w:rPr>
          <w:sz w:val="20"/>
          <w:szCs w:val="20"/>
          <w:color w:val="auto"/>
        </w:rPr>
      </w:pPr>
      <w:r>
        <w:rPr>
          <w:rFonts w:ascii="Calibri" w:cs="Calibri" w:eastAsia="Calibri" w:hAnsi="Calibri"/>
          <w:sz w:val="20"/>
          <w:szCs w:val="20"/>
          <w:color w:val="auto"/>
        </w:rPr>
        <w:t>NASDAQ: AOUT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color w:val="auto"/>
        </w:rPr>
        <w:t>In this press release, certain non-GAAP fnancial measures, including “non-GAAP net income” and “Adjusted EBITDAS” are presented. A reconciliaton of these and other non-GAAP fnancial measures are contained at the end of this press release. From tme to tme, the Company considers and uses these non-GAAP fnancial measures as supplemental measures of operatng performance in order to provide the reader with an improved understanding of underlying performance trends. The Company believes it is useful for itself and the reader to review, as applicable, both (1) GAAP measures that include (i) amortzaton of acquired intangible assets, (ii) stock compensaton, (iii) technology implementaton, (iv) non-recurring inventory reserve adjustment, (v) emerging growth status transiton costs, (vi) income tax adjustments, (vii) interest (income)/expense, (viii) income tax expense, and (xi) depreciaton and amortzaton; and</w:t>
      </w:r>
    </w:p>
    <w:p>
      <w:pPr>
        <w:spacing w:after="0" w:line="13" w:lineRule="exact"/>
        <w:rPr>
          <w:sz w:val="20"/>
          <w:szCs w:val="20"/>
          <w:color w:val="auto"/>
        </w:rPr>
      </w:pPr>
    </w:p>
    <w:p>
      <w:pPr>
        <w:jc w:val="both"/>
        <w:ind w:firstLine="8"/>
        <w:spacing w:after="0"/>
        <w:tabs>
          <w:tab w:leader="none" w:pos="274" w:val="left"/>
        </w:tabs>
        <w:numPr>
          <w:ilvl w:val="0"/>
          <w:numId w:val="4"/>
        </w:numPr>
        <w:rPr>
          <w:rFonts w:ascii="Calibri" w:cs="Calibri" w:eastAsia="Calibri" w:hAnsi="Calibri"/>
          <w:sz w:val="20"/>
          <w:szCs w:val="20"/>
          <w:color w:val="auto"/>
        </w:rPr>
      </w:pPr>
      <w:r>
        <w:rPr>
          <w:rFonts w:ascii="Calibri" w:cs="Calibri" w:eastAsia="Calibri" w:hAnsi="Calibri"/>
          <w:sz w:val="20"/>
          <w:szCs w:val="20"/>
          <w:color w:val="auto"/>
        </w:rPr>
        <w:t>the non-GAAP measures that exclude such informaton. The Company presents these non-GAAP measures because it considers them an important supplemental measure of its performance and believes the disclosure of such measures provides useful informaton to investors regarding the Company’s fnancial conditon and results of operatons. The Company’s defniton of these adjusted fnancial measures may difer from similarly named measures used by others. The Company believes these measures facilitate operatng performance comparisons from period to period by eliminatng potental diferences caused by the existence and tming of certain expense items that would not otherwise be apparent on a GAAP basis. These non-GAAP measures have limitatons as an analytcal tool and should not be considered in isolaton or as a substtute for the Company's GAAP measures. The principal limitatons of these measures are that they do not refect the Company's actual expenses and may thus have the efect of infatng its fnancial measures on a GAAP basis.</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Calibri" w:cs="Calibri" w:eastAsia="Calibri" w:hAnsi="Calibri"/>
          <w:sz w:val="20"/>
          <w:szCs w:val="20"/>
          <w:u w:val="single" w:color="auto"/>
          <w:color w:val="auto"/>
        </w:rPr>
        <w:t>About American Outdoor Brands, Inc.</w:t>
      </w:r>
    </w:p>
    <w:p>
      <w:pPr>
        <w:spacing w:after="0" w:line="9" w:lineRule="exact"/>
        <w:rPr>
          <w:sz w:val="20"/>
          <w:szCs w:val="20"/>
          <w:color w:val="auto"/>
        </w:rPr>
      </w:pPr>
    </w:p>
    <w:p>
      <w:pPr>
        <w:jc w:val="both"/>
        <w:spacing w:after="0" w:line="226" w:lineRule="auto"/>
        <w:rPr>
          <w:sz w:val="20"/>
          <w:szCs w:val="20"/>
          <w:color w:val="auto"/>
        </w:rPr>
      </w:pPr>
      <w:r>
        <w:rPr>
          <w:rFonts w:ascii="Calibri" w:cs="Calibri" w:eastAsia="Calibri" w:hAnsi="Calibri"/>
          <w:sz w:val="20"/>
          <w:szCs w:val="20"/>
          <w:color w:val="auto"/>
        </w:rPr>
        <w:t>American Outdoor Brands, Inc. (NASDAQ Global Select: AOUT) is an innovaton company that provides product solutons for outdoor enthusiasts, including huntng, fshing, camping, shootng, outdoor cooking, and personal security and personal defense products. The Company produces innovatve, high quality products under brands including BOG®; BUBBA®; Caldwell®; Crimson Trace®; Frankford Arsenal®; Grilla Grills®; Hooyman®; Imperial®; LaserLyte®; Lockdown®; MEAT!</w:t>
      </w:r>
      <w:r>
        <w:rPr>
          <w:rFonts w:ascii="Calibri" w:cs="Calibri" w:eastAsia="Calibri" w:hAnsi="Calibri"/>
          <w:sz w:val="26"/>
          <w:szCs w:val="26"/>
          <w:color w:val="auto"/>
          <w:vertAlign w:val="superscript"/>
        </w:rPr>
        <w:t>TM</w:t>
      </w:r>
      <w:r>
        <w:rPr>
          <w:rFonts w:ascii="Calibri" w:cs="Calibri" w:eastAsia="Calibri" w:hAnsi="Calibri"/>
          <w:sz w:val="20"/>
          <w:szCs w:val="20"/>
          <w:color w:val="auto"/>
        </w:rPr>
        <w:t xml:space="preserve">; Old Timer®; Schrade®; Tipton®; Uncle Henry®; ust®; and Wheeler®. For more informaton about all the brands and products from American Outdoor Brands, Inc., visit </w:t>
      </w:r>
      <w:r>
        <w:rPr>
          <w:rFonts w:ascii="Calibri" w:cs="Calibri" w:eastAsia="Calibri" w:hAnsi="Calibri"/>
          <w:sz w:val="20"/>
          <w:szCs w:val="20"/>
          <w:u w:val="single" w:color="auto"/>
          <w:color w:val="0000FF"/>
        </w:rPr>
        <w:t>aob.com</w:t>
      </w:r>
      <w:r>
        <w:rPr>
          <w:rFonts w:ascii="Calibri" w:cs="Calibri" w:eastAsia="Calibri" w:hAnsi="Calibri"/>
          <w:sz w:val="20"/>
          <w:szCs w:val="20"/>
          <w:color w:val="auto"/>
        </w:rPr>
        <w:t>.</w:t>
      </w:r>
    </w:p>
    <w:p>
      <w:pPr>
        <w:spacing w:after="0" w:line="243" w:lineRule="exact"/>
        <w:rPr>
          <w:sz w:val="20"/>
          <w:szCs w:val="20"/>
          <w:color w:val="auto"/>
        </w:rPr>
      </w:pPr>
    </w:p>
    <w:p>
      <w:pPr>
        <w:spacing w:after="0"/>
        <w:rPr>
          <w:sz w:val="20"/>
          <w:szCs w:val="20"/>
          <w:color w:val="auto"/>
        </w:rPr>
      </w:pPr>
      <w:r>
        <w:rPr>
          <w:rFonts w:ascii="Calibri" w:cs="Calibri" w:eastAsia="Calibri" w:hAnsi="Calibri"/>
          <w:sz w:val="20"/>
          <w:szCs w:val="20"/>
          <w:b w:val="1"/>
          <w:bCs w:val="1"/>
          <w:u w:val="single" w:color="auto"/>
          <w:color w:val="auto"/>
        </w:rPr>
        <w:t>Safe Harbor Statement</w:t>
      </w:r>
    </w:p>
    <w:p>
      <w:pPr>
        <w:spacing w:after="0" w:line="9" w:lineRule="exact"/>
        <w:rPr>
          <w:sz w:val="20"/>
          <w:szCs w:val="20"/>
          <w:color w:val="auto"/>
        </w:rPr>
      </w:pPr>
    </w:p>
    <w:p>
      <w:pPr>
        <w:jc w:val="both"/>
        <w:spacing w:after="0" w:line="238" w:lineRule="auto"/>
        <w:rPr>
          <w:sz w:val="20"/>
          <w:szCs w:val="20"/>
          <w:color w:val="auto"/>
        </w:rPr>
      </w:pPr>
      <w:r>
        <w:rPr>
          <w:rFonts w:ascii="Calibri" w:cs="Calibri" w:eastAsia="Calibri" w:hAnsi="Calibri"/>
          <w:sz w:val="20"/>
          <w:szCs w:val="20"/>
          <w:color w:val="auto"/>
        </w:rPr>
        <w:t>Certain statements contained in this press release may be deemed to be forward-looking statements under federal securites laws, and we intend that such forward-looking statements be subject to the safe harbor created thereby. All statements other than statements of historical facts contained or incorporated herein by reference in this press release, including statements regarding our future operatng results, future fnancial positon, business strategy, objectves, goals, plans, prospects, markets, and plans and objectves for future operatons, are forward-looking statements. In some cases, you can identfy forward-looking statements by terms such as “antcipates,” “believes,” “estmates,” “expects,” “intends,” “targets,” “contemplates,” “projects,” “predicts,” “may,” “might,” “plan,” “would,” “should,” “could,” “may,” “can,” “potental,” “contnue,” “objectve,” or the negatve of those terms, or similar expressions intended to identfy forward-looking statements. However, not all forward-looking statements contain these identfying words. Specifc forward-looking statements in this press release include our belief in the success of the core to our long-term growth strategy of new product innovaton and expanded distributon opportunites; our belief in the resilience of consumer and the future growth in sales of our new products; our belief that our initatves to drive channel expansion, combined with our robust new product pipeline, will deliver growth in our Outdoor Lifestyle category; and our belief that we remain well positoned to deliver growth in both net sales and proftability in fscal 2025. We cauton that these statements are qualifed by important risks, uncertaintes,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653415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6" w:name="page7"/>
    <w:bookmarkEnd w:id="6"/>
    <w:p>
      <w:pPr>
        <w:jc w:val="right"/>
        <w:ind w:right="20"/>
        <w:spacing w:after="0"/>
        <w:rPr>
          <w:sz w:val="20"/>
          <w:szCs w:val="20"/>
          <w:color w:val="auto"/>
        </w:rPr>
      </w:pPr>
      <w:r>
        <w:rPr>
          <w:rFonts w:ascii="Calibri" w:cs="Calibri" w:eastAsia="Calibri" w:hAnsi="Calibri"/>
          <w:sz w:val="20"/>
          <w:szCs w:val="20"/>
          <w:color w:val="auto"/>
        </w:rPr>
        <w:t>1800 N Route 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-132715</wp:posOffset>
            </wp:positionV>
            <wp:extent cx="3145790" cy="5143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145790" cy="514350"/>
                    </a:xfrm>
                    <a:prstGeom prst="rect">
                      <a:avLst/>
                    </a:prstGeom>
                    <a:noFill/>
                  </pic:spPr>
                </pic:pic>
              </a:graphicData>
            </a:graphic>
          </wp:anchor>
        </w:drawing>
      </w:r>
    </w:p>
    <w:p>
      <w:pPr>
        <w:jc w:val="right"/>
        <w:ind w:right="20"/>
        <w:spacing w:after="0"/>
        <w:rPr>
          <w:sz w:val="20"/>
          <w:szCs w:val="20"/>
          <w:color w:val="auto"/>
        </w:rPr>
      </w:pPr>
      <w:r>
        <w:rPr>
          <w:rFonts w:ascii="Calibri" w:cs="Calibri" w:eastAsia="Calibri" w:hAnsi="Calibri"/>
          <w:sz w:val="20"/>
          <w:szCs w:val="20"/>
          <w:color w:val="auto"/>
        </w:rPr>
        <w:t>Columbia, MO 65202</w:t>
      </w:r>
    </w:p>
    <w:p>
      <w:pPr>
        <w:spacing w:after="0" w:line="12" w:lineRule="exact"/>
        <w:rPr>
          <w:sz w:val="20"/>
          <w:szCs w:val="20"/>
          <w:color w:val="auto"/>
        </w:rPr>
      </w:pPr>
    </w:p>
    <w:p>
      <w:pPr>
        <w:jc w:val="right"/>
        <w:ind w:right="20"/>
        <w:spacing w:after="0"/>
        <w:rPr>
          <w:sz w:val="20"/>
          <w:szCs w:val="20"/>
          <w:color w:val="auto"/>
        </w:rPr>
      </w:pPr>
      <w:r>
        <w:rPr>
          <w:rFonts w:ascii="Calibri" w:cs="Calibri" w:eastAsia="Calibri" w:hAnsi="Calibri"/>
          <w:sz w:val="20"/>
          <w:szCs w:val="20"/>
          <w:color w:val="auto"/>
        </w:rPr>
        <w:t>(800) 338-9585</w:t>
      </w:r>
    </w:p>
    <w:p>
      <w:pPr>
        <w:spacing w:after="0" w:line="12" w:lineRule="exact"/>
        <w:rPr>
          <w:sz w:val="20"/>
          <w:szCs w:val="20"/>
          <w:color w:val="auto"/>
        </w:rPr>
      </w:pPr>
    </w:p>
    <w:p>
      <w:pPr>
        <w:jc w:val="right"/>
        <w:ind w:right="20"/>
        <w:spacing w:after="0"/>
        <w:rPr>
          <w:sz w:val="20"/>
          <w:szCs w:val="20"/>
          <w:color w:val="auto"/>
        </w:rPr>
      </w:pPr>
      <w:r>
        <w:rPr>
          <w:rFonts w:ascii="Calibri" w:cs="Calibri" w:eastAsia="Calibri" w:hAnsi="Calibri"/>
          <w:sz w:val="20"/>
          <w:szCs w:val="20"/>
          <w:color w:val="auto"/>
        </w:rPr>
        <w:t>NASDAQ: AOUT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spacing w:after="0" w:line="238" w:lineRule="auto"/>
        <w:rPr>
          <w:sz w:val="20"/>
          <w:szCs w:val="20"/>
          <w:color w:val="auto"/>
        </w:rPr>
      </w:pPr>
      <w:r>
        <w:rPr>
          <w:rFonts w:ascii="Calibri" w:cs="Calibri" w:eastAsia="Calibri" w:hAnsi="Calibri"/>
          <w:sz w:val="20"/>
          <w:szCs w:val="20"/>
          <w:color w:val="auto"/>
        </w:rPr>
        <w:t>other factors that could cause actual results to difer materially from those refected by such forward-looking statements. Such factors include, among others, potental disruptons in our ability to source the materials necessary for the producton of our products, disruptons and delays in the manufacture of our products, and difcultes encountered by retailers and other components of the distributon channel for our products; economic, social, politcal, legislatve, and regulatory factors; lawsuits and their efect on us; inventory levels, both internally and in the distributon channel, in excess of demand; natural disasters, pandemics, seasonality, news events, politcal events, and consumer tastes; future investments for capital expenditures; future products and product development; the features, quality, and performance of our products; the success of our strategies and marketng programs; our market share and factors that afect our market share; liquidity and antcipated cash needs and availability; the supply, availability, and costs of materials and components and related tarifs; our ability to maintain and enhance brand recogniton and reputaton; risks associated with the distributon of our products and overall availability of labor; and other factors detailed from tme to tme in our reports fled with the Securites and Exchange Commission, including our Annual Report on Form 10-K for the fscal year ended April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652145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7" w:name="page8"/>
    <w:bookmarkEnd w:id="7"/>
    <w:p>
      <w:pPr>
        <w:jc w:val="right"/>
        <w:ind w:right="20"/>
        <w:spacing w:after="0"/>
        <w:rPr>
          <w:sz w:val="20"/>
          <w:szCs w:val="20"/>
          <w:color w:val="auto"/>
        </w:rPr>
      </w:pPr>
      <w:r>
        <w:rPr>
          <w:rFonts w:ascii="Calibri" w:cs="Calibri" w:eastAsia="Calibri" w:hAnsi="Calibri"/>
          <w:sz w:val="20"/>
          <w:szCs w:val="20"/>
          <w:color w:val="auto"/>
        </w:rPr>
        <w:t>1800 N Route 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-132715</wp:posOffset>
            </wp:positionV>
            <wp:extent cx="3145790" cy="5143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145790" cy="514350"/>
                    </a:xfrm>
                    <a:prstGeom prst="rect">
                      <a:avLst/>
                    </a:prstGeom>
                    <a:noFill/>
                  </pic:spPr>
                </pic:pic>
              </a:graphicData>
            </a:graphic>
          </wp:anchor>
        </w:drawing>
      </w:r>
    </w:p>
    <w:p>
      <w:pPr>
        <w:jc w:val="right"/>
        <w:ind w:right="20"/>
        <w:spacing w:after="0"/>
        <w:rPr>
          <w:sz w:val="20"/>
          <w:szCs w:val="20"/>
          <w:color w:val="auto"/>
        </w:rPr>
      </w:pPr>
      <w:r>
        <w:rPr>
          <w:rFonts w:ascii="Calibri" w:cs="Calibri" w:eastAsia="Calibri" w:hAnsi="Calibri"/>
          <w:sz w:val="20"/>
          <w:szCs w:val="20"/>
          <w:color w:val="auto"/>
        </w:rPr>
        <w:t>Columbia, MO 65202</w:t>
      </w:r>
    </w:p>
    <w:p>
      <w:pPr>
        <w:spacing w:after="0" w:line="12" w:lineRule="exact"/>
        <w:rPr>
          <w:sz w:val="20"/>
          <w:szCs w:val="20"/>
          <w:color w:val="auto"/>
        </w:rPr>
      </w:pPr>
    </w:p>
    <w:p>
      <w:pPr>
        <w:jc w:val="right"/>
        <w:ind w:right="20"/>
        <w:spacing w:after="0"/>
        <w:rPr>
          <w:sz w:val="20"/>
          <w:szCs w:val="20"/>
          <w:color w:val="auto"/>
        </w:rPr>
      </w:pPr>
      <w:r>
        <w:rPr>
          <w:rFonts w:ascii="Calibri" w:cs="Calibri" w:eastAsia="Calibri" w:hAnsi="Calibri"/>
          <w:sz w:val="20"/>
          <w:szCs w:val="20"/>
          <w:color w:val="auto"/>
        </w:rPr>
        <w:t>(800) 338-9585</w:t>
      </w:r>
    </w:p>
    <w:p>
      <w:pPr>
        <w:spacing w:after="0" w:line="12" w:lineRule="exact"/>
        <w:rPr>
          <w:sz w:val="20"/>
          <w:szCs w:val="20"/>
          <w:color w:val="auto"/>
        </w:rPr>
      </w:pPr>
    </w:p>
    <w:p>
      <w:pPr>
        <w:jc w:val="right"/>
        <w:ind w:right="20"/>
        <w:spacing w:after="0"/>
        <w:rPr>
          <w:sz w:val="20"/>
          <w:szCs w:val="20"/>
          <w:color w:val="auto"/>
        </w:rPr>
      </w:pPr>
      <w:r>
        <w:rPr>
          <w:rFonts w:ascii="Calibri" w:cs="Calibri" w:eastAsia="Calibri" w:hAnsi="Calibri"/>
          <w:sz w:val="20"/>
          <w:szCs w:val="20"/>
          <w:color w:val="auto"/>
        </w:rPr>
        <w:t>NASDAQ: AOUT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00"/>
        <w:spacing w:after="0"/>
        <w:rPr>
          <w:sz w:val="20"/>
          <w:szCs w:val="20"/>
          <w:color w:val="auto"/>
        </w:rPr>
      </w:pPr>
      <w:r>
        <w:rPr>
          <w:rFonts w:ascii="Calibri" w:cs="Calibri" w:eastAsia="Calibri" w:hAnsi="Calibri"/>
          <w:sz w:val="18"/>
          <w:szCs w:val="18"/>
          <w:b w:val="1"/>
          <w:bCs w:val="1"/>
          <w:color w:val="auto"/>
        </w:rPr>
        <w:t>AMERICAN OUTDOOR BRANDS, INC. AND SUBSIDIARIES</w:t>
      </w:r>
    </w:p>
    <w:p>
      <w:pPr>
        <w:spacing w:after="0" w:line="23" w:lineRule="exact"/>
        <w:rPr>
          <w:sz w:val="20"/>
          <w:szCs w:val="20"/>
          <w:color w:val="auto"/>
        </w:rPr>
      </w:pPr>
    </w:p>
    <w:p>
      <w:pPr>
        <w:jc w:val="center"/>
        <w:ind w:right="100"/>
        <w:spacing w:after="0"/>
        <w:rPr>
          <w:sz w:val="20"/>
          <w:szCs w:val="20"/>
          <w:color w:val="auto"/>
        </w:rPr>
      </w:pPr>
      <w:r>
        <w:rPr>
          <w:rFonts w:ascii="Calibri" w:cs="Calibri" w:eastAsia="Calibri" w:hAnsi="Calibri"/>
          <w:sz w:val="18"/>
          <w:szCs w:val="18"/>
          <w:b w:val="1"/>
          <w:bCs w:val="1"/>
          <w:color w:val="auto"/>
        </w:rPr>
        <w:t>CONSOLIDATED BALANCE SHEETS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Calibri" w:cs="Calibri" w:eastAsia="Calibri" w:hAnsi="Calibri"/>
                <w:sz w:val="14"/>
                <w:szCs w:val="14"/>
                <w:b w:val="1"/>
                <w:bCs w:val="1"/>
                <w:color w:val="auto"/>
              </w:rPr>
              <w:t>As of:</w:t>
            </w: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76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7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20" w:type="dxa"/>
            <w:vAlign w:val="bottom"/>
            <w:gridSpan w:val="2"/>
          </w:tcPr>
          <w:p>
            <w:pPr>
              <w:jc w:val="right"/>
              <w:ind w:right="728"/>
              <w:spacing w:after="0" w:line="164" w:lineRule="exact"/>
              <w:rPr>
                <w:sz w:val="20"/>
                <w:szCs w:val="20"/>
                <w:color w:val="auto"/>
              </w:rPr>
            </w:pPr>
            <w:r>
              <w:rPr>
                <w:rFonts w:ascii="Calibri" w:cs="Calibri" w:eastAsia="Calibri" w:hAnsi="Calibri"/>
                <w:sz w:val="14"/>
                <w:szCs w:val="14"/>
                <w:b w:val="1"/>
                <w:bCs w:val="1"/>
                <w:color w:val="auto"/>
              </w:rPr>
              <w:t>July 31, 2024</w:t>
            </w: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20" w:type="dxa"/>
            <w:vAlign w:val="bottom"/>
            <w:gridSpan w:val="2"/>
          </w:tcPr>
          <w:p>
            <w:pPr>
              <w:jc w:val="right"/>
              <w:ind w:right="748"/>
              <w:spacing w:after="0"/>
              <w:rPr>
                <w:sz w:val="20"/>
                <w:szCs w:val="20"/>
                <w:color w:val="auto"/>
              </w:rPr>
            </w:pPr>
            <w:r>
              <w:rPr>
                <w:rFonts w:ascii="Calibri" w:cs="Calibri" w:eastAsia="Calibri" w:hAnsi="Calibri"/>
                <w:sz w:val="14"/>
                <w:szCs w:val="14"/>
                <w:b w:val="1"/>
                <w:bCs w:val="1"/>
                <w:color w:val="auto"/>
              </w:rPr>
              <w:t>(Unaudited)</w:t>
            </w:r>
          </w:p>
        </w:tc>
        <w:tc>
          <w:tcPr>
            <w:tcW w:w="240" w:type="dxa"/>
            <w:vAlign w:val="bottom"/>
          </w:tcPr>
          <w:p>
            <w:pPr>
              <w:spacing w:after="0"/>
              <w:rPr>
                <w:sz w:val="15"/>
                <w:szCs w:val="15"/>
                <w:color w:val="auto"/>
              </w:rPr>
            </w:pPr>
          </w:p>
        </w:tc>
        <w:tc>
          <w:tcPr>
            <w:tcW w:w="1420" w:type="dxa"/>
            <w:vAlign w:val="bottom"/>
            <w:gridSpan w:val="2"/>
          </w:tcPr>
          <w:p>
            <w:pPr>
              <w:jc w:val="right"/>
              <w:ind w:right="480"/>
              <w:spacing w:after="0"/>
              <w:rPr>
                <w:sz w:val="20"/>
                <w:szCs w:val="20"/>
                <w:color w:val="auto"/>
              </w:rPr>
            </w:pPr>
            <w:r>
              <w:rPr>
                <w:rFonts w:ascii="Calibri" w:cs="Calibri" w:eastAsia="Calibri" w:hAnsi="Calibri"/>
                <w:sz w:val="14"/>
                <w:szCs w:val="14"/>
                <w:b w:val="1"/>
                <w:bCs w:val="1"/>
                <w:color w:val="auto"/>
              </w:rPr>
              <w:t>April 30, 2024</w:t>
            </w:r>
          </w:p>
        </w:tc>
        <w:tc>
          <w:tcPr>
            <w:tcW w:w="0" w:type="dxa"/>
            <w:vAlign w:val="bottom"/>
          </w:tcPr>
          <w:p>
            <w:pPr>
              <w:spacing w:after="0"/>
              <w:rPr>
                <w:sz w:val="1"/>
                <w:szCs w:val="1"/>
                <w:color w:val="auto"/>
              </w:rPr>
            </w:pPr>
          </w:p>
        </w:tc>
      </w:tr>
      <w:tr>
        <w:trPr>
          <w:trHeight w:val="33"/>
        </w:trPr>
        <w:tc>
          <w:tcPr>
            <w:tcW w:w="76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7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jc w:val="right"/>
              <w:spacing w:after="0" w:line="164" w:lineRule="exact"/>
              <w:rPr>
                <w:sz w:val="20"/>
                <w:szCs w:val="20"/>
                <w:color w:val="auto"/>
              </w:rPr>
            </w:pPr>
            <w:r>
              <w:rPr>
                <w:rFonts w:ascii="Calibri" w:cs="Calibri" w:eastAsia="Calibri" w:hAnsi="Calibri"/>
                <w:sz w:val="14"/>
                <w:szCs w:val="14"/>
                <w:color w:val="auto"/>
              </w:rPr>
              <w:t>(In thousands, except</w:t>
            </w:r>
          </w:p>
        </w:tc>
        <w:tc>
          <w:tcPr>
            <w:tcW w:w="1960" w:type="dxa"/>
            <w:vAlign w:val="bottom"/>
            <w:gridSpan w:val="3"/>
          </w:tcPr>
          <w:p>
            <w:pPr>
              <w:jc w:val="right"/>
              <w:ind w:right="291"/>
              <w:spacing w:after="0" w:line="164" w:lineRule="exact"/>
              <w:rPr>
                <w:sz w:val="20"/>
                <w:szCs w:val="20"/>
                <w:color w:val="auto"/>
              </w:rPr>
            </w:pPr>
            <w:r>
              <w:rPr>
                <w:rFonts w:ascii="Calibri" w:cs="Calibri" w:eastAsia="Calibri" w:hAnsi="Calibri"/>
                <w:sz w:val="14"/>
                <w:szCs w:val="14"/>
                <w:color w:val="auto"/>
              </w:rPr>
              <w:t>par value and share data)</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7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600" w:type="dxa"/>
            <w:vAlign w:val="bottom"/>
            <w:tcBorders>
              <w:bottom w:val="single" w:sz="8" w:color="CCECFF"/>
            </w:tcBorders>
            <w:shd w:val="clear" w:color="auto" w:fill="CCECFF"/>
          </w:tcPr>
          <w:p>
            <w:pPr>
              <w:ind w:left="5300"/>
              <w:spacing w:after="0" w:line="215" w:lineRule="exact"/>
              <w:rPr>
                <w:sz w:val="20"/>
                <w:szCs w:val="20"/>
                <w:color w:val="auto"/>
              </w:rPr>
            </w:pPr>
            <w:r>
              <w:rPr>
                <w:rFonts w:ascii="Calibri" w:cs="Calibri" w:eastAsia="Calibri" w:hAnsi="Calibri"/>
                <w:sz w:val="18"/>
                <w:szCs w:val="18"/>
                <w:b w:val="1"/>
                <w:bCs w:val="1"/>
                <w:color w:val="auto"/>
              </w:rPr>
              <w:t>ASSETS</w:t>
            </w:r>
          </w:p>
        </w:tc>
        <w:tc>
          <w:tcPr>
            <w:tcW w:w="260" w:type="dxa"/>
            <w:vAlign w:val="bottom"/>
            <w:tcBorders>
              <w:bottom w:val="single" w:sz="8" w:color="CCECFF"/>
            </w:tcBorders>
            <w:shd w:val="clear" w:color="auto" w:fill="CCECFF"/>
          </w:tcPr>
          <w:p>
            <w:pPr>
              <w:spacing w:after="0"/>
              <w:rPr>
                <w:sz w:val="19"/>
                <w:szCs w:val="19"/>
                <w:color w:val="auto"/>
              </w:rPr>
            </w:pPr>
          </w:p>
        </w:tc>
        <w:tc>
          <w:tcPr>
            <w:tcW w:w="1320" w:type="dxa"/>
            <w:vAlign w:val="bottom"/>
            <w:tcBorders>
              <w:bottom w:val="single" w:sz="8" w:color="CCECFF"/>
            </w:tcBorders>
            <w:shd w:val="clear" w:color="auto" w:fill="CCECFF"/>
          </w:tcPr>
          <w:p>
            <w:pPr>
              <w:spacing w:after="0"/>
              <w:rPr>
                <w:sz w:val="19"/>
                <w:szCs w:val="19"/>
                <w:color w:val="auto"/>
              </w:rPr>
            </w:pPr>
          </w:p>
        </w:tc>
        <w:tc>
          <w:tcPr>
            <w:tcW w:w="400" w:type="dxa"/>
            <w:vAlign w:val="bottom"/>
            <w:tcBorders>
              <w:bottom w:val="single" w:sz="8" w:color="CCECFF"/>
            </w:tcBorders>
            <w:shd w:val="clear" w:color="auto" w:fill="CCECFF"/>
          </w:tcPr>
          <w:p>
            <w:pPr>
              <w:spacing w:after="0"/>
              <w:rPr>
                <w:sz w:val="19"/>
                <w:szCs w:val="19"/>
                <w:color w:val="auto"/>
              </w:rPr>
            </w:pPr>
          </w:p>
        </w:tc>
        <w:tc>
          <w:tcPr>
            <w:tcW w:w="240" w:type="dxa"/>
            <w:vAlign w:val="bottom"/>
            <w:tcBorders>
              <w:bottom w:val="single" w:sz="8" w:color="CCECFF"/>
            </w:tcBorders>
            <w:shd w:val="clear" w:color="auto" w:fill="CCECFF"/>
          </w:tcPr>
          <w:p>
            <w:pPr>
              <w:spacing w:after="0"/>
              <w:rPr>
                <w:sz w:val="19"/>
                <w:szCs w:val="19"/>
                <w:color w:val="auto"/>
              </w:rPr>
            </w:pPr>
          </w:p>
        </w:tc>
        <w:tc>
          <w:tcPr>
            <w:tcW w:w="1320" w:type="dxa"/>
            <w:vAlign w:val="bottom"/>
            <w:tcBorders>
              <w:bottom w:val="single" w:sz="8" w:color="CCECFF"/>
            </w:tcBorders>
            <w:shd w:val="clear" w:color="auto" w:fill="CCECFF"/>
          </w:tcPr>
          <w:p>
            <w:pPr>
              <w:spacing w:after="0"/>
              <w:rPr>
                <w:sz w:val="19"/>
                <w:szCs w:val="19"/>
                <w:color w:val="auto"/>
              </w:rPr>
            </w:pPr>
          </w:p>
        </w:tc>
        <w:tc>
          <w:tcPr>
            <w:tcW w:w="100" w:type="dxa"/>
            <w:vAlign w:val="bottom"/>
            <w:tcBorders>
              <w:bottom w:val="single" w:sz="8" w:color="CCECFF"/>
            </w:tcBorders>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600" w:type="dxa"/>
            <w:vAlign w:val="bottom"/>
          </w:tcPr>
          <w:p>
            <w:pPr>
              <w:ind w:left="60"/>
              <w:spacing w:after="0" w:line="215" w:lineRule="exact"/>
              <w:rPr>
                <w:sz w:val="20"/>
                <w:szCs w:val="20"/>
                <w:color w:val="auto"/>
              </w:rPr>
            </w:pPr>
            <w:r>
              <w:rPr>
                <w:rFonts w:ascii="Calibri" w:cs="Calibri" w:eastAsia="Calibri" w:hAnsi="Calibri"/>
                <w:sz w:val="18"/>
                <w:szCs w:val="18"/>
                <w:color w:val="auto"/>
              </w:rPr>
              <w:t>Current assets:</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7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600" w:type="dxa"/>
            <w:vAlign w:val="bottom"/>
            <w:tcBorders>
              <w:bottom w:val="single" w:sz="8" w:color="CCECFF"/>
            </w:tcBorders>
            <w:shd w:val="clear" w:color="auto" w:fill="CCECFF"/>
          </w:tcPr>
          <w:p>
            <w:pPr>
              <w:ind w:left="200"/>
              <w:spacing w:after="0" w:line="215" w:lineRule="exact"/>
              <w:rPr>
                <w:sz w:val="20"/>
                <w:szCs w:val="20"/>
                <w:color w:val="auto"/>
              </w:rPr>
            </w:pPr>
            <w:r>
              <w:rPr>
                <w:rFonts w:ascii="Calibri" w:cs="Calibri" w:eastAsia="Calibri" w:hAnsi="Calibri"/>
                <w:sz w:val="18"/>
                <w:szCs w:val="18"/>
                <w:color w:val="auto"/>
              </w:rPr>
              <w:t>Cash and cash equivalents</w:t>
            </w:r>
          </w:p>
        </w:tc>
        <w:tc>
          <w:tcPr>
            <w:tcW w:w="260" w:type="dxa"/>
            <w:vAlign w:val="bottom"/>
            <w:tcBorders>
              <w:bottom w:val="single" w:sz="8" w:color="CCECFF"/>
            </w:tcBorders>
            <w:shd w:val="clear" w:color="auto" w:fill="CCECFF"/>
          </w:tcPr>
          <w:p>
            <w:pPr>
              <w:jc w:val="right"/>
              <w:ind w:right="50"/>
              <w:spacing w:after="0" w:line="215" w:lineRule="exact"/>
              <w:rPr>
                <w:sz w:val="20"/>
                <w:szCs w:val="20"/>
                <w:color w:val="auto"/>
              </w:rPr>
            </w:pPr>
            <w:r>
              <w:rPr>
                <w:rFonts w:ascii="Calibri" w:cs="Calibri" w:eastAsia="Calibri" w:hAnsi="Calibri"/>
                <w:sz w:val="18"/>
                <w:szCs w:val="18"/>
                <w:color w:val="auto"/>
              </w:rPr>
              <w:t>$</w:t>
            </w:r>
          </w:p>
        </w:tc>
        <w:tc>
          <w:tcPr>
            <w:tcW w:w="1320" w:type="dxa"/>
            <w:vAlign w:val="bottom"/>
            <w:tcBorders>
              <w:bottom w:val="single" w:sz="8" w:color="CCECFF"/>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23,463</w:t>
            </w:r>
          </w:p>
        </w:tc>
        <w:tc>
          <w:tcPr>
            <w:tcW w:w="400" w:type="dxa"/>
            <w:vAlign w:val="bottom"/>
            <w:tcBorders>
              <w:bottom w:val="single" w:sz="8" w:color="CCECFF"/>
            </w:tcBorders>
            <w:shd w:val="clear" w:color="auto" w:fill="CCECFF"/>
          </w:tcPr>
          <w:p>
            <w:pPr>
              <w:spacing w:after="0"/>
              <w:rPr>
                <w:sz w:val="19"/>
                <w:szCs w:val="19"/>
                <w:color w:val="auto"/>
              </w:rPr>
            </w:pPr>
          </w:p>
        </w:tc>
        <w:tc>
          <w:tcPr>
            <w:tcW w:w="240" w:type="dxa"/>
            <w:vAlign w:val="bottom"/>
            <w:tcBorders>
              <w:bottom w:val="single" w:sz="8" w:color="CCECFF"/>
            </w:tcBorders>
            <w:shd w:val="clear" w:color="auto" w:fill="CCECFF"/>
          </w:tcPr>
          <w:p>
            <w:pPr>
              <w:jc w:val="right"/>
              <w:ind w:right="50"/>
              <w:spacing w:after="0" w:line="215" w:lineRule="exact"/>
              <w:rPr>
                <w:sz w:val="20"/>
                <w:szCs w:val="20"/>
                <w:color w:val="auto"/>
              </w:rPr>
            </w:pPr>
            <w:r>
              <w:rPr>
                <w:rFonts w:ascii="Calibri" w:cs="Calibri" w:eastAsia="Calibri" w:hAnsi="Calibri"/>
                <w:sz w:val="18"/>
                <w:szCs w:val="18"/>
                <w:color w:val="auto"/>
                <w:w w:val="87"/>
              </w:rPr>
              <w:t>$</w:t>
            </w:r>
          </w:p>
        </w:tc>
        <w:tc>
          <w:tcPr>
            <w:tcW w:w="1320" w:type="dxa"/>
            <w:vAlign w:val="bottom"/>
            <w:tcBorders>
              <w:bottom w:val="single" w:sz="8" w:color="CCECFF"/>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29,698</w:t>
            </w:r>
          </w:p>
        </w:tc>
        <w:tc>
          <w:tcPr>
            <w:tcW w:w="100" w:type="dxa"/>
            <w:vAlign w:val="bottom"/>
            <w:tcBorders>
              <w:bottom w:val="single" w:sz="8" w:color="CCECFF"/>
            </w:tcBorders>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7600" w:type="dxa"/>
            <w:vAlign w:val="bottom"/>
          </w:tcPr>
          <w:p>
            <w:pPr>
              <w:ind w:left="200"/>
              <w:spacing w:after="0" w:line="207" w:lineRule="exact"/>
              <w:rPr>
                <w:sz w:val="20"/>
                <w:szCs w:val="20"/>
                <w:color w:val="auto"/>
              </w:rPr>
            </w:pPr>
            <w:r>
              <w:rPr>
                <w:rFonts w:ascii="Calibri" w:cs="Calibri" w:eastAsia="Calibri" w:hAnsi="Calibri"/>
                <w:sz w:val="18"/>
                <w:szCs w:val="18"/>
                <w:color w:val="auto"/>
              </w:rPr>
              <w:t>Accounts receivable, net of allowance for credit losses of $114 on July 31, 2024</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600" w:type="dxa"/>
            <w:vAlign w:val="bottom"/>
          </w:tcPr>
          <w:p>
            <w:pPr>
              <w:ind w:left="320"/>
              <w:spacing w:after="0" w:line="215" w:lineRule="exact"/>
              <w:rPr>
                <w:sz w:val="20"/>
                <w:szCs w:val="20"/>
                <w:color w:val="auto"/>
              </w:rPr>
            </w:pPr>
            <w:r>
              <w:rPr>
                <w:rFonts w:ascii="Calibri" w:cs="Calibri" w:eastAsia="Calibri" w:hAnsi="Calibri"/>
                <w:sz w:val="18"/>
                <w:szCs w:val="18"/>
                <w:color w:val="auto"/>
              </w:rPr>
              <w:t>and $133 on April 30, 2024</w:t>
            </w:r>
          </w:p>
        </w:tc>
        <w:tc>
          <w:tcPr>
            <w:tcW w:w="260" w:type="dxa"/>
            <w:vAlign w:val="bottom"/>
          </w:tcPr>
          <w:p>
            <w:pPr>
              <w:spacing w:after="0"/>
              <w:rPr>
                <w:sz w:val="18"/>
                <w:szCs w:val="18"/>
                <w:color w:val="auto"/>
              </w:rPr>
            </w:pPr>
          </w:p>
        </w:tc>
        <w:tc>
          <w:tcPr>
            <w:tcW w:w="1320" w:type="dxa"/>
            <w:vAlign w:val="bottom"/>
          </w:tcPr>
          <w:p>
            <w:pPr>
              <w:jc w:val="right"/>
              <w:spacing w:after="0" w:line="215" w:lineRule="exact"/>
              <w:rPr>
                <w:sz w:val="20"/>
                <w:szCs w:val="20"/>
                <w:color w:val="auto"/>
              </w:rPr>
            </w:pPr>
            <w:r>
              <w:rPr>
                <w:rFonts w:ascii="Calibri" w:cs="Calibri" w:eastAsia="Calibri" w:hAnsi="Calibri"/>
                <w:sz w:val="18"/>
                <w:szCs w:val="18"/>
                <w:color w:val="auto"/>
              </w:rPr>
              <w:t>26,346</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line="215" w:lineRule="exact"/>
              <w:rPr>
                <w:sz w:val="20"/>
                <w:szCs w:val="20"/>
                <w:color w:val="auto"/>
              </w:rPr>
            </w:pPr>
            <w:r>
              <w:rPr>
                <w:rFonts w:ascii="Calibri" w:cs="Calibri" w:eastAsia="Calibri" w:hAnsi="Calibri"/>
                <w:sz w:val="18"/>
                <w:szCs w:val="18"/>
                <w:color w:val="auto"/>
              </w:rPr>
              <w:t>25,728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7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7600" w:type="dxa"/>
            <w:vAlign w:val="bottom"/>
            <w:tcBorders>
              <w:bottom w:val="single" w:sz="8" w:color="CCECFF"/>
            </w:tcBorders>
            <w:shd w:val="clear" w:color="auto" w:fill="CCECFF"/>
          </w:tcPr>
          <w:p>
            <w:pPr>
              <w:ind w:left="200"/>
              <w:spacing w:after="0" w:line="215" w:lineRule="exact"/>
              <w:rPr>
                <w:sz w:val="20"/>
                <w:szCs w:val="20"/>
                <w:color w:val="auto"/>
              </w:rPr>
            </w:pPr>
            <w:r>
              <w:rPr>
                <w:rFonts w:ascii="Calibri" w:cs="Calibri" w:eastAsia="Calibri" w:hAnsi="Calibri"/>
                <w:sz w:val="18"/>
                <w:szCs w:val="18"/>
                <w:color w:val="auto"/>
              </w:rPr>
              <w:t>Inventories</w:t>
            </w:r>
          </w:p>
        </w:tc>
        <w:tc>
          <w:tcPr>
            <w:tcW w:w="260" w:type="dxa"/>
            <w:vAlign w:val="bottom"/>
            <w:tcBorders>
              <w:bottom w:val="single" w:sz="8" w:color="CCECFF"/>
            </w:tcBorders>
            <w:shd w:val="clear" w:color="auto" w:fill="CCECFF"/>
          </w:tcPr>
          <w:p>
            <w:pPr>
              <w:spacing w:after="0"/>
              <w:rPr>
                <w:sz w:val="19"/>
                <w:szCs w:val="19"/>
                <w:color w:val="auto"/>
              </w:rPr>
            </w:pPr>
          </w:p>
        </w:tc>
        <w:tc>
          <w:tcPr>
            <w:tcW w:w="1320" w:type="dxa"/>
            <w:vAlign w:val="bottom"/>
            <w:tcBorders>
              <w:bottom w:val="single" w:sz="8" w:color="CCECFF"/>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106,710</w:t>
            </w:r>
          </w:p>
        </w:tc>
        <w:tc>
          <w:tcPr>
            <w:tcW w:w="400" w:type="dxa"/>
            <w:vAlign w:val="bottom"/>
            <w:tcBorders>
              <w:bottom w:val="single" w:sz="8" w:color="CCECFF"/>
            </w:tcBorders>
            <w:shd w:val="clear" w:color="auto" w:fill="CCECFF"/>
          </w:tcPr>
          <w:p>
            <w:pPr>
              <w:spacing w:after="0"/>
              <w:rPr>
                <w:sz w:val="19"/>
                <w:szCs w:val="19"/>
                <w:color w:val="auto"/>
              </w:rPr>
            </w:pPr>
          </w:p>
        </w:tc>
        <w:tc>
          <w:tcPr>
            <w:tcW w:w="240" w:type="dxa"/>
            <w:vAlign w:val="bottom"/>
            <w:tcBorders>
              <w:bottom w:val="single" w:sz="8" w:color="CCECFF"/>
            </w:tcBorders>
            <w:shd w:val="clear" w:color="auto" w:fill="CCECFF"/>
          </w:tcPr>
          <w:p>
            <w:pPr>
              <w:spacing w:after="0"/>
              <w:rPr>
                <w:sz w:val="19"/>
                <w:szCs w:val="19"/>
                <w:color w:val="auto"/>
              </w:rPr>
            </w:pPr>
          </w:p>
        </w:tc>
        <w:tc>
          <w:tcPr>
            <w:tcW w:w="1320" w:type="dxa"/>
            <w:vAlign w:val="bottom"/>
            <w:tcBorders>
              <w:bottom w:val="single" w:sz="8" w:color="CCECFF"/>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93,315</w:t>
            </w:r>
          </w:p>
        </w:tc>
        <w:tc>
          <w:tcPr>
            <w:tcW w:w="100" w:type="dxa"/>
            <w:vAlign w:val="bottom"/>
            <w:tcBorders>
              <w:bottom w:val="single" w:sz="8" w:color="CCECFF"/>
            </w:tcBorders>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600" w:type="dxa"/>
            <w:vAlign w:val="bottom"/>
          </w:tcPr>
          <w:p>
            <w:pPr>
              <w:ind w:left="200"/>
              <w:spacing w:after="0" w:line="215" w:lineRule="exact"/>
              <w:rPr>
                <w:sz w:val="20"/>
                <w:szCs w:val="20"/>
                <w:color w:val="auto"/>
              </w:rPr>
            </w:pPr>
            <w:r>
              <w:rPr>
                <w:rFonts w:ascii="Calibri" w:cs="Calibri" w:eastAsia="Calibri" w:hAnsi="Calibri"/>
                <w:sz w:val="18"/>
                <w:szCs w:val="18"/>
                <w:color w:val="auto"/>
              </w:rPr>
              <w:t>Prepaid expenses and other current assets</w:t>
            </w:r>
          </w:p>
        </w:tc>
        <w:tc>
          <w:tcPr>
            <w:tcW w:w="260" w:type="dxa"/>
            <w:vAlign w:val="bottom"/>
          </w:tcPr>
          <w:p>
            <w:pPr>
              <w:spacing w:after="0"/>
              <w:rPr>
                <w:sz w:val="18"/>
                <w:szCs w:val="18"/>
                <w:color w:val="auto"/>
              </w:rPr>
            </w:pPr>
          </w:p>
        </w:tc>
        <w:tc>
          <w:tcPr>
            <w:tcW w:w="1320" w:type="dxa"/>
            <w:vAlign w:val="bottom"/>
          </w:tcPr>
          <w:p>
            <w:pPr>
              <w:jc w:val="right"/>
              <w:spacing w:after="0" w:line="215" w:lineRule="exact"/>
              <w:rPr>
                <w:sz w:val="20"/>
                <w:szCs w:val="20"/>
                <w:color w:val="auto"/>
              </w:rPr>
            </w:pPr>
            <w:r>
              <w:rPr>
                <w:rFonts w:ascii="Calibri" w:cs="Calibri" w:eastAsia="Calibri" w:hAnsi="Calibri"/>
                <w:sz w:val="18"/>
                <w:szCs w:val="18"/>
                <w:color w:val="auto"/>
              </w:rPr>
              <w:t>5,585</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line="215" w:lineRule="exact"/>
              <w:rPr>
                <w:sz w:val="20"/>
                <w:szCs w:val="20"/>
                <w:color w:val="auto"/>
              </w:rPr>
            </w:pPr>
            <w:r>
              <w:rPr>
                <w:rFonts w:ascii="Calibri" w:cs="Calibri" w:eastAsia="Calibri" w:hAnsi="Calibri"/>
                <w:sz w:val="18"/>
                <w:szCs w:val="18"/>
                <w:color w:val="auto"/>
              </w:rPr>
              <w:t>6,410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7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7600" w:type="dxa"/>
            <w:vAlign w:val="bottom"/>
            <w:tcBorders>
              <w:bottom w:val="single" w:sz="8" w:color="CCECFF"/>
            </w:tcBorders>
            <w:shd w:val="clear" w:color="auto" w:fill="CCECFF"/>
          </w:tcPr>
          <w:p>
            <w:pPr>
              <w:ind w:left="200"/>
              <w:spacing w:after="0"/>
              <w:rPr>
                <w:sz w:val="20"/>
                <w:szCs w:val="20"/>
                <w:color w:val="auto"/>
              </w:rPr>
            </w:pPr>
            <w:r>
              <w:rPr>
                <w:rFonts w:ascii="Calibri" w:cs="Calibri" w:eastAsia="Calibri" w:hAnsi="Calibri"/>
                <w:sz w:val="18"/>
                <w:szCs w:val="18"/>
                <w:color w:val="auto"/>
              </w:rPr>
              <w:t>Income tax receivable</w:t>
            </w:r>
          </w:p>
        </w:tc>
        <w:tc>
          <w:tcPr>
            <w:tcW w:w="260" w:type="dxa"/>
            <w:vAlign w:val="bottom"/>
            <w:tcBorders>
              <w:bottom w:val="single" w:sz="8" w:color="CCECFF"/>
            </w:tcBorders>
            <w:shd w:val="clear" w:color="auto" w:fill="CCECFF"/>
          </w:tcPr>
          <w:p>
            <w:pPr>
              <w:spacing w:after="0"/>
              <w:rPr>
                <w:sz w:val="21"/>
                <w:szCs w:val="21"/>
                <w:color w:val="auto"/>
              </w:rPr>
            </w:pPr>
          </w:p>
        </w:tc>
        <w:tc>
          <w:tcPr>
            <w:tcW w:w="1320" w:type="dxa"/>
            <w:vAlign w:val="bottom"/>
            <w:tcBorders>
              <w:bottom w:val="single" w:sz="8" w:color="CCECFF"/>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245</w:t>
            </w:r>
          </w:p>
        </w:tc>
        <w:tc>
          <w:tcPr>
            <w:tcW w:w="400" w:type="dxa"/>
            <w:vAlign w:val="bottom"/>
            <w:tcBorders>
              <w:bottom w:val="single" w:sz="8" w:color="CCECFF"/>
            </w:tcBorders>
            <w:shd w:val="clear" w:color="auto" w:fill="CCECFF"/>
          </w:tcPr>
          <w:p>
            <w:pPr>
              <w:spacing w:after="0"/>
              <w:rPr>
                <w:sz w:val="21"/>
                <w:szCs w:val="21"/>
                <w:color w:val="auto"/>
              </w:rPr>
            </w:pPr>
          </w:p>
        </w:tc>
        <w:tc>
          <w:tcPr>
            <w:tcW w:w="240" w:type="dxa"/>
            <w:vAlign w:val="bottom"/>
            <w:tcBorders>
              <w:bottom w:val="single" w:sz="8" w:color="CCECFF"/>
            </w:tcBorders>
            <w:shd w:val="clear" w:color="auto" w:fill="CCECFF"/>
          </w:tcPr>
          <w:p>
            <w:pPr>
              <w:spacing w:after="0"/>
              <w:rPr>
                <w:sz w:val="21"/>
                <w:szCs w:val="21"/>
                <w:color w:val="auto"/>
              </w:rPr>
            </w:pPr>
          </w:p>
        </w:tc>
        <w:tc>
          <w:tcPr>
            <w:tcW w:w="1320" w:type="dxa"/>
            <w:vAlign w:val="bottom"/>
            <w:tcBorders>
              <w:bottom w:val="single" w:sz="8" w:color="CCECFF"/>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223</w:t>
            </w:r>
          </w:p>
        </w:tc>
        <w:tc>
          <w:tcPr>
            <w:tcW w:w="100" w:type="dxa"/>
            <w:vAlign w:val="bottom"/>
            <w:tcBorders>
              <w:bottom w:val="single" w:sz="8" w:color="CCECFF"/>
            </w:tcBorders>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7600" w:type="dxa"/>
            <w:vAlign w:val="bottom"/>
            <w:tcBorders>
              <w:top w:val="single" w:sz="8" w:color="CCECFF"/>
            </w:tcBorders>
          </w:tcPr>
          <w:p>
            <w:pPr>
              <w:ind w:left="440"/>
              <w:spacing w:after="0" w:line="213" w:lineRule="exact"/>
              <w:rPr>
                <w:sz w:val="20"/>
                <w:szCs w:val="20"/>
                <w:color w:val="auto"/>
              </w:rPr>
            </w:pPr>
            <w:r>
              <w:rPr>
                <w:rFonts w:ascii="Calibri" w:cs="Calibri" w:eastAsia="Calibri" w:hAnsi="Calibri"/>
                <w:sz w:val="18"/>
                <w:szCs w:val="18"/>
                <w:color w:val="auto"/>
              </w:rPr>
              <w:t>Total current assets</w:t>
            </w:r>
          </w:p>
        </w:tc>
        <w:tc>
          <w:tcPr>
            <w:tcW w:w="2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line="213" w:lineRule="exact"/>
              <w:rPr>
                <w:sz w:val="20"/>
                <w:szCs w:val="20"/>
                <w:color w:val="auto"/>
              </w:rPr>
            </w:pPr>
            <w:r>
              <w:rPr>
                <w:rFonts w:ascii="Calibri" w:cs="Calibri" w:eastAsia="Calibri" w:hAnsi="Calibri"/>
                <w:sz w:val="18"/>
                <w:szCs w:val="18"/>
                <w:color w:val="auto"/>
              </w:rPr>
              <w:t>162,349</w:t>
            </w:r>
          </w:p>
        </w:tc>
        <w:tc>
          <w:tcPr>
            <w:tcW w:w="400" w:type="dxa"/>
            <w:vAlign w:val="bottom"/>
            <w:tcBorders>
              <w:top w:val="single" w:sz="8" w:color="CCEC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line="213" w:lineRule="exact"/>
              <w:rPr>
                <w:sz w:val="20"/>
                <w:szCs w:val="20"/>
                <w:color w:val="auto"/>
              </w:rPr>
            </w:pPr>
            <w:r>
              <w:rPr>
                <w:rFonts w:ascii="Calibri" w:cs="Calibri" w:eastAsia="Calibri" w:hAnsi="Calibri"/>
                <w:sz w:val="18"/>
                <w:szCs w:val="18"/>
                <w:color w:val="auto"/>
              </w:rPr>
              <w:t>155,374</w:t>
            </w:r>
          </w:p>
        </w:tc>
        <w:tc>
          <w:tcPr>
            <w:tcW w:w="100" w:type="dxa"/>
            <w:vAlign w:val="bottom"/>
            <w:tcBorders>
              <w:top w:val="single" w:sz="8" w:color="CCECFF"/>
            </w:tcBorders>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76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600" w:type="dxa"/>
            <w:vAlign w:val="bottom"/>
            <w:tcBorders>
              <w:bottom w:val="single" w:sz="8" w:color="CCECFF"/>
            </w:tcBorders>
            <w:shd w:val="clear" w:color="auto" w:fill="CCECFF"/>
          </w:tcPr>
          <w:p>
            <w:pPr>
              <w:ind w:left="200"/>
              <w:spacing w:after="0" w:line="208" w:lineRule="exact"/>
              <w:rPr>
                <w:sz w:val="20"/>
                <w:szCs w:val="20"/>
                <w:color w:val="auto"/>
              </w:rPr>
            </w:pPr>
            <w:r>
              <w:rPr>
                <w:rFonts w:ascii="Calibri" w:cs="Calibri" w:eastAsia="Calibri" w:hAnsi="Calibri"/>
                <w:sz w:val="18"/>
                <w:szCs w:val="18"/>
                <w:color w:val="auto"/>
              </w:rPr>
              <w:t>Property, plant, and equipment, net</w:t>
            </w:r>
          </w:p>
        </w:tc>
        <w:tc>
          <w:tcPr>
            <w:tcW w:w="260" w:type="dxa"/>
            <w:vAlign w:val="bottom"/>
            <w:tcBorders>
              <w:bottom w:val="single" w:sz="8" w:color="CCECFF"/>
            </w:tcBorders>
            <w:shd w:val="clear" w:color="auto" w:fill="CCECFF"/>
          </w:tcPr>
          <w:p>
            <w:pPr>
              <w:spacing w:after="0"/>
              <w:rPr>
                <w:sz w:val="18"/>
                <w:szCs w:val="18"/>
                <w:color w:val="auto"/>
              </w:rPr>
            </w:pPr>
          </w:p>
        </w:tc>
        <w:tc>
          <w:tcPr>
            <w:tcW w:w="1320" w:type="dxa"/>
            <w:vAlign w:val="bottom"/>
            <w:tcBorders>
              <w:bottom w:val="single" w:sz="8" w:color="CCECFF"/>
            </w:tcBorders>
            <w:shd w:val="clear" w:color="auto" w:fill="CCECFF"/>
          </w:tcPr>
          <w:p>
            <w:pPr>
              <w:jc w:val="right"/>
              <w:spacing w:after="0" w:line="208" w:lineRule="exact"/>
              <w:rPr>
                <w:sz w:val="20"/>
                <w:szCs w:val="20"/>
                <w:color w:val="auto"/>
              </w:rPr>
            </w:pPr>
            <w:r>
              <w:rPr>
                <w:rFonts w:ascii="Calibri" w:cs="Calibri" w:eastAsia="Calibri" w:hAnsi="Calibri"/>
                <w:sz w:val="18"/>
                <w:szCs w:val="18"/>
                <w:color w:val="auto"/>
              </w:rPr>
              <w:t>10,992</w:t>
            </w:r>
          </w:p>
        </w:tc>
        <w:tc>
          <w:tcPr>
            <w:tcW w:w="400" w:type="dxa"/>
            <w:vAlign w:val="bottom"/>
            <w:tcBorders>
              <w:bottom w:val="single" w:sz="8" w:color="CCECFF"/>
            </w:tcBorders>
            <w:shd w:val="clear" w:color="auto" w:fill="CCECFF"/>
          </w:tcPr>
          <w:p>
            <w:pPr>
              <w:spacing w:after="0"/>
              <w:rPr>
                <w:sz w:val="18"/>
                <w:szCs w:val="18"/>
                <w:color w:val="auto"/>
              </w:rPr>
            </w:pPr>
          </w:p>
        </w:tc>
        <w:tc>
          <w:tcPr>
            <w:tcW w:w="240" w:type="dxa"/>
            <w:vAlign w:val="bottom"/>
            <w:tcBorders>
              <w:bottom w:val="single" w:sz="8" w:color="CCECFF"/>
            </w:tcBorders>
            <w:shd w:val="clear" w:color="auto" w:fill="CCECFF"/>
          </w:tcPr>
          <w:p>
            <w:pPr>
              <w:spacing w:after="0"/>
              <w:rPr>
                <w:sz w:val="18"/>
                <w:szCs w:val="18"/>
                <w:color w:val="auto"/>
              </w:rPr>
            </w:pPr>
          </w:p>
        </w:tc>
        <w:tc>
          <w:tcPr>
            <w:tcW w:w="1320" w:type="dxa"/>
            <w:vAlign w:val="bottom"/>
            <w:tcBorders>
              <w:bottom w:val="single" w:sz="8" w:color="CCECFF"/>
            </w:tcBorders>
            <w:shd w:val="clear" w:color="auto" w:fill="CCECFF"/>
          </w:tcPr>
          <w:p>
            <w:pPr>
              <w:jc w:val="right"/>
              <w:spacing w:after="0" w:line="208" w:lineRule="exact"/>
              <w:rPr>
                <w:sz w:val="20"/>
                <w:szCs w:val="20"/>
                <w:color w:val="auto"/>
              </w:rPr>
            </w:pPr>
            <w:r>
              <w:rPr>
                <w:rFonts w:ascii="Calibri" w:cs="Calibri" w:eastAsia="Calibri" w:hAnsi="Calibri"/>
                <w:sz w:val="18"/>
                <w:szCs w:val="18"/>
                <w:color w:val="auto"/>
              </w:rPr>
              <w:t>11,038</w:t>
            </w:r>
          </w:p>
        </w:tc>
        <w:tc>
          <w:tcPr>
            <w:tcW w:w="10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600" w:type="dxa"/>
            <w:vAlign w:val="bottom"/>
          </w:tcPr>
          <w:p>
            <w:pPr>
              <w:ind w:left="200"/>
              <w:spacing w:after="0" w:line="215" w:lineRule="exact"/>
              <w:rPr>
                <w:sz w:val="20"/>
                <w:szCs w:val="20"/>
                <w:color w:val="auto"/>
              </w:rPr>
            </w:pPr>
            <w:r>
              <w:rPr>
                <w:rFonts w:ascii="Calibri" w:cs="Calibri" w:eastAsia="Calibri" w:hAnsi="Calibri"/>
                <w:sz w:val="18"/>
                <w:szCs w:val="18"/>
                <w:color w:val="auto"/>
              </w:rPr>
              <w:t>Intangible assets, net</w:t>
            </w:r>
          </w:p>
        </w:tc>
        <w:tc>
          <w:tcPr>
            <w:tcW w:w="260" w:type="dxa"/>
            <w:vAlign w:val="bottom"/>
          </w:tcPr>
          <w:p>
            <w:pPr>
              <w:spacing w:after="0"/>
              <w:rPr>
                <w:sz w:val="18"/>
                <w:szCs w:val="18"/>
                <w:color w:val="auto"/>
              </w:rPr>
            </w:pPr>
          </w:p>
        </w:tc>
        <w:tc>
          <w:tcPr>
            <w:tcW w:w="1320" w:type="dxa"/>
            <w:vAlign w:val="bottom"/>
          </w:tcPr>
          <w:p>
            <w:pPr>
              <w:jc w:val="right"/>
              <w:spacing w:after="0" w:line="215" w:lineRule="exact"/>
              <w:rPr>
                <w:sz w:val="20"/>
                <w:szCs w:val="20"/>
                <w:color w:val="auto"/>
              </w:rPr>
            </w:pPr>
            <w:r>
              <w:rPr>
                <w:rFonts w:ascii="Calibri" w:cs="Calibri" w:eastAsia="Calibri" w:hAnsi="Calibri"/>
                <w:sz w:val="18"/>
                <w:szCs w:val="18"/>
                <w:color w:val="auto"/>
              </w:rPr>
              <w:t>37,930</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line="215" w:lineRule="exact"/>
              <w:rPr>
                <w:sz w:val="20"/>
                <w:szCs w:val="20"/>
                <w:color w:val="auto"/>
              </w:rPr>
            </w:pPr>
            <w:r>
              <w:rPr>
                <w:rFonts w:ascii="Calibri" w:cs="Calibri" w:eastAsia="Calibri" w:hAnsi="Calibri"/>
                <w:sz w:val="18"/>
                <w:szCs w:val="18"/>
                <w:color w:val="auto"/>
              </w:rPr>
              <w:t>40,217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7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600" w:type="dxa"/>
            <w:vAlign w:val="bottom"/>
            <w:tcBorders>
              <w:bottom w:val="single" w:sz="8" w:color="CCECFF"/>
            </w:tcBorders>
            <w:shd w:val="clear" w:color="auto" w:fill="CCECFF"/>
          </w:tcPr>
          <w:p>
            <w:pPr>
              <w:ind w:left="200"/>
              <w:spacing w:after="0" w:line="215" w:lineRule="exact"/>
              <w:rPr>
                <w:sz w:val="20"/>
                <w:szCs w:val="20"/>
                <w:color w:val="auto"/>
              </w:rPr>
            </w:pPr>
            <w:r>
              <w:rPr>
                <w:rFonts w:ascii="Calibri" w:cs="Calibri" w:eastAsia="Calibri" w:hAnsi="Calibri"/>
                <w:sz w:val="18"/>
                <w:szCs w:val="18"/>
                <w:color w:val="auto"/>
              </w:rPr>
              <w:t>Right-of-use assets</w:t>
            </w:r>
          </w:p>
        </w:tc>
        <w:tc>
          <w:tcPr>
            <w:tcW w:w="260" w:type="dxa"/>
            <w:vAlign w:val="bottom"/>
            <w:tcBorders>
              <w:bottom w:val="single" w:sz="8" w:color="CCECFF"/>
            </w:tcBorders>
            <w:shd w:val="clear" w:color="auto" w:fill="CCECFF"/>
          </w:tcPr>
          <w:p>
            <w:pPr>
              <w:spacing w:after="0"/>
              <w:rPr>
                <w:sz w:val="19"/>
                <w:szCs w:val="19"/>
                <w:color w:val="auto"/>
              </w:rPr>
            </w:pPr>
          </w:p>
        </w:tc>
        <w:tc>
          <w:tcPr>
            <w:tcW w:w="1320" w:type="dxa"/>
            <w:vAlign w:val="bottom"/>
            <w:tcBorders>
              <w:bottom w:val="single" w:sz="8" w:color="CCECFF"/>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33,165</w:t>
            </w:r>
          </w:p>
        </w:tc>
        <w:tc>
          <w:tcPr>
            <w:tcW w:w="400" w:type="dxa"/>
            <w:vAlign w:val="bottom"/>
            <w:tcBorders>
              <w:bottom w:val="single" w:sz="8" w:color="CCECFF"/>
            </w:tcBorders>
            <w:shd w:val="clear" w:color="auto" w:fill="CCECFF"/>
          </w:tcPr>
          <w:p>
            <w:pPr>
              <w:spacing w:after="0"/>
              <w:rPr>
                <w:sz w:val="19"/>
                <w:szCs w:val="19"/>
                <w:color w:val="auto"/>
              </w:rPr>
            </w:pPr>
          </w:p>
        </w:tc>
        <w:tc>
          <w:tcPr>
            <w:tcW w:w="240" w:type="dxa"/>
            <w:vAlign w:val="bottom"/>
            <w:tcBorders>
              <w:bottom w:val="single" w:sz="8" w:color="CCECFF"/>
            </w:tcBorders>
            <w:shd w:val="clear" w:color="auto" w:fill="CCECFF"/>
          </w:tcPr>
          <w:p>
            <w:pPr>
              <w:spacing w:after="0"/>
              <w:rPr>
                <w:sz w:val="19"/>
                <w:szCs w:val="19"/>
                <w:color w:val="auto"/>
              </w:rPr>
            </w:pPr>
          </w:p>
        </w:tc>
        <w:tc>
          <w:tcPr>
            <w:tcW w:w="1320" w:type="dxa"/>
            <w:vAlign w:val="bottom"/>
            <w:tcBorders>
              <w:bottom w:val="single" w:sz="8" w:color="CCECFF"/>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33,564</w:t>
            </w:r>
          </w:p>
        </w:tc>
        <w:tc>
          <w:tcPr>
            <w:tcW w:w="100" w:type="dxa"/>
            <w:vAlign w:val="bottom"/>
            <w:tcBorders>
              <w:bottom w:val="single" w:sz="8" w:color="CCECFF"/>
            </w:tcBorders>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600" w:type="dxa"/>
            <w:vAlign w:val="bottom"/>
          </w:tcPr>
          <w:p>
            <w:pPr>
              <w:ind w:left="200"/>
              <w:spacing w:after="0"/>
              <w:rPr>
                <w:sz w:val="20"/>
                <w:szCs w:val="20"/>
                <w:color w:val="auto"/>
              </w:rPr>
            </w:pPr>
            <w:r>
              <w:rPr>
                <w:rFonts w:ascii="Calibri" w:cs="Calibri" w:eastAsia="Calibri" w:hAnsi="Calibri"/>
                <w:sz w:val="18"/>
                <w:szCs w:val="18"/>
                <w:color w:val="auto"/>
              </w:rPr>
              <w:t>Other assets</w:t>
            </w:r>
          </w:p>
        </w:tc>
        <w:tc>
          <w:tcPr>
            <w:tcW w:w="260" w:type="dxa"/>
            <w:vAlign w:val="bottom"/>
          </w:tcPr>
          <w:p>
            <w:pPr>
              <w:spacing w:after="0"/>
              <w:rPr>
                <w:sz w:val="19"/>
                <w:szCs w:val="19"/>
                <w:color w:val="auto"/>
              </w:rPr>
            </w:pPr>
          </w:p>
        </w:tc>
        <w:tc>
          <w:tcPr>
            <w:tcW w:w="1320" w:type="dxa"/>
            <w:vAlign w:val="bottom"/>
          </w:tcPr>
          <w:p>
            <w:pPr>
              <w:jc w:val="right"/>
              <w:spacing w:after="0" w:line="215" w:lineRule="exact"/>
              <w:rPr>
                <w:sz w:val="20"/>
                <w:szCs w:val="20"/>
                <w:color w:val="auto"/>
              </w:rPr>
            </w:pPr>
            <w:r>
              <w:rPr>
                <w:rFonts w:ascii="Calibri" w:cs="Calibri" w:eastAsia="Calibri" w:hAnsi="Calibri"/>
                <w:sz w:val="18"/>
                <w:szCs w:val="18"/>
                <w:color w:val="auto"/>
              </w:rPr>
              <w:t>354</w:t>
            </w: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line="215" w:lineRule="exact"/>
              <w:rPr>
                <w:sz w:val="20"/>
                <w:szCs w:val="20"/>
                <w:color w:val="auto"/>
              </w:rPr>
            </w:pPr>
            <w:r>
              <w:rPr>
                <w:rFonts w:ascii="Calibri" w:cs="Calibri" w:eastAsia="Calibri" w:hAnsi="Calibri"/>
                <w:sz w:val="18"/>
                <w:szCs w:val="18"/>
                <w:color w:val="auto"/>
              </w:rPr>
              <w:t>404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76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7600" w:type="dxa"/>
            <w:vAlign w:val="bottom"/>
            <w:tcBorders>
              <w:bottom w:val="single" w:sz="8" w:color="CCECFF"/>
            </w:tcBorders>
            <w:shd w:val="clear" w:color="auto" w:fill="CCECFF"/>
          </w:tcPr>
          <w:p>
            <w:pPr>
              <w:ind w:left="440"/>
              <w:spacing w:after="0"/>
              <w:rPr>
                <w:sz w:val="20"/>
                <w:szCs w:val="20"/>
                <w:color w:val="auto"/>
              </w:rPr>
            </w:pPr>
            <w:r>
              <w:rPr>
                <w:rFonts w:ascii="Calibri" w:cs="Calibri" w:eastAsia="Calibri" w:hAnsi="Calibri"/>
                <w:sz w:val="18"/>
                <w:szCs w:val="18"/>
                <w:color w:val="auto"/>
              </w:rPr>
              <w:t>Total assets</w:t>
            </w:r>
          </w:p>
        </w:tc>
        <w:tc>
          <w:tcPr>
            <w:tcW w:w="260" w:type="dxa"/>
            <w:vAlign w:val="bottom"/>
            <w:tcBorders>
              <w:bottom w:val="single" w:sz="8" w:color="auto"/>
            </w:tcBorders>
            <w:shd w:val="clear" w:color="auto" w:fill="CCECFF"/>
          </w:tcPr>
          <w:p>
            <w:pPr>
              <w:jc w:val="right"/>
              <w:ind w:right="50"/>
              <w:spacing w:after="0" w:line="215" w:lineRule="exact"/>
              <w:rPr>
                <w:sz w:val="20"/>
                <w:szCs w:val="20"/>
                <w:color w:val="auto"/>
              </w:rPr>
            </w:pPr>
            <w:r>
              <w:rPr>
                <w:rFonts w:ascii="Calibri" w:cs="Calibri" w:eastAsia="Calibri" w:hAnsi="Calibri"/>
                <w:sz w:val="18"/>
                <w:szCs w:val="18"/>
                <w:color w:val="auto"/>
              </w:rPr>
              <w:t>$</w:t>
            </w:r>
          </w:p>
        </w:tc>
        <w:tc>
          <w:tcPr>
            <w:tcW w:w="1320" w:type="dxa"/>
            <w:vAlign w:val="bottom"/>
            <w:tcBorders>
              <w:bottom w:val="single" w:sz="8" w:color="auto"/>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244,790</w:t>
            </w:r>
          </w:p>
        </w:tc>
        <w:tc>
          <w:tcPr>
            <w:tcW w:w="400" w:type="dxa"/>
            <w:vAlign w:val="bottom"/>
            <w:tcBorders>
              <w:bottom w:val="single" w:sz="8" w:color="CCECFF"/>
            </w:tcBorders>
            <w:shd w:val="clear" w:color="auto" w:fill="CCECFF"/>
          </w:tcPr>
          <w:p>
            <w:pPr>
              <w:spacing w:after="0"/>
              <w:rPr>
                <w:sz w:val="24"/>
                <w:szCs w:val="24"/>
                <w:color w:val="auto"/>
              </w:rPr>
            </w:pPr>
          </w:p>
        </w:tc>
        <w:tc>
          <w:tcPr>
            <w:tcW w:w="240" w:type="dxa"/>
            <w:vAlign w:val="bottom"/>
            <w:tcBorders>
              <w:bottom w:val="single" w:sz="8" w:color="auto"/>
            </w:tcBorders>
            <w:shd w:val="clear" w:color="auto" w:fill="CCECFF"/>
          </w:tcPr>
          <w:p>
            <w:pPr>
              <w:jc w:val="right"/>
              <w:ind w:right="50"/>
              <w:spacing w:after="0" w:line="215" w:lineRule="exact"/>
              <w:rPr>
                <w:sz w:val="20"/>
                <w:szCs w:val="20"/>
                <w:color w:val="auto"/>
              </w:rPr>
            </w:pPr>
            <w:r>
              <w:rPr>
                <w:rFonts w:ascii="Calibri" w:cs="Calibri" w:eastAsia="Calibri" w:hAnsi="Calibri"/>
                <w:sz w:val="18"/>
                <w:szCs w:val="18"/>
                <w:color w:val="auto"/>
                <w:w w:val="87"/>
              </w:rPr>
              <w:t>$</w:t>
            </w:r>
          </w:p>
        </w:tc>
        <w:tc>
          <w:tcPr>
            <w:tcW w:w="1320" w:type="dxa"/>
            <w:vAlign w:val="bottom"/>
            <w:tcBorders>
              <w:bottom w:val="single" w:sz="8" w:color="auto"/>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240,597</w:t>
            </w:r>
          </w:p>
        </w:tc>
        <w:tc>
          <w:tcPr>
            <w:tcW w:w="100" w:type="dxa"/>
            <w:vAlign w:val="bottom"/>
            <w:tcBorders>
              <w:bottom w:val="single" w:sz="8" w:color="CCECFF"/>
            </w:tcBorders>
            <w:shd w:val="clear" w:color="auto" w:fill="CCECFF"/>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7600" w:type="dxa"/>
            <w:vAlign w:val="bottom"/>
          </w:tcPr>
          <w:p>
            <w:pPr>
              <w:ind w:left="4700"/>
              <w:spacing w:after="0" w:line="196" w:lineRule="exact"/>
              <w:rPr>
                <w:sz w:val="20"/>
                <w:szCs w:val="20"/>
                <w:color w:val="auto"/>
              </w:rPr>
            </w:pPr>
            <w:r>
              <w:rPr>
                <w:rFonts w:ascii="Calibri" w:cs="Calibri" w:eastAsia="Calibri" w:hAnsi="Calibri"/>
                <w:sz w:val="18"/>
                <w:szCs w:val="18"/>
                <w:b w:val="1"/>
                <w:bCs w:val="1"/>
                <w:color w:val="auto"/>
              </w:rPr>
              <w:t>LIABILITIES AND EQUITY</w:t>
            </w:r>
          </w:p>
        </w:tc>
        <w:tc>
          <w:tcPr>
            <w:tcW w:w="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7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600" w:type="dxa"/>
            <w:vAlign w:val="bottom"/>
            <w:tcBorders>
              <w:bottom w:val="single" w:sz="8" w:color="CCECFF"/>
            </w:tcBorders>
            <w:shd w:val="clear" w:color="auto" w:fill="CCECFF"/>
          </w:tcPr>
          <w:p>
            <w:pPr>
              <w:ind w:left="20"/>
              <w:spacing w:after="0" w:line="215" w:lineRule="exact"/>
              <w:rPr>
                <w:sz w:val="20"/>
                <w:szCs w:val="20"/>
                <w:color w:val="auto"/>
              </w:rPr>
            </w:pPr>
            <w:r>
              <w:rPr>
                <w:rFonts w:ascii="Calibri" w:cs="Calibri" w:eastAsia="Calibri" w:hAnsi="Calibri"/>
                <w:sz w:val="18"/>
                <w:szCs w:val="18"/>
                <w:color w:val="auto"/>
              </w:rPr>
              <w:t>Current liabilites:</w:t>
            </w:r>
          </w:p>
        </w:tc>
        <w:tc>
          <w:tcPr>
            <w:tcW w:w="260" w:type="dxa"/>
            <w:vAlign w:val="bottom"/>
            <w:tcBorders>
              <w:bottom w:val="single" w:sz="8" w:color="CCECFF"/>
            </w:tcBorders>
            <w:shd w:val="clear" w:color="auto" w:fill="CCECFF"/>
          </w:tcPr>
          <w:p>
            <w:pPr>
              <w:spacing w:after="0"/>
              <w:rPr>
                <w:sz w:val="19"/>
                <w:szCs w:val="19"/>
                <w:color w:val="auto"/>
              </w:rPr>
            </w:pPr>
          </w:p>
        </w:tc>
        <w:tc>
          <w:tcPr>
            <w:tcW w:w="1320" w:type="dxa"/>
            <w:vAlign w:val="bottom"/>
            <w:tcBorders>
              <w:bottom w:val="single" w:sz="8" w:color="CCECFF"/>
            </w:tcBorders>
            <w:shd w:val="clear" w:color="auto" w:fill="CCECFF"/>
          </w:tcPr>
          <w:p>
            <w:pPr>
              <w:spacing w:after="0"/>
              <w:rPr>
                <w:sz w:val="19"/>
                <w:szCs w:val="19"/>
                <w:color w:val="auto"/>
              </w:rPr>
            </w:pPr>
          </w:p>
        </w:tc>
        <w:tc>
          <w:tcPr>
            <w:tcW w:w="400" w:type="dxa"/>
            <w:vAlign w:val="bottom"/>
            <w:tcBorders>
              <w:bottom w:val="single" w:sz="8" w:color="CCECFF"/>
            </w:tcBorders>
            <w:shd w:val="clear" w:color="auto" w:fill="CCECFF"/>
          </w:tcPr>
          <w:p>
            <w:pPr>
              <w:spacing w:after="0"/>
              <w:rPr>
                <w:sz w:val="19"/>
                <w:szCs w:val="19"/>
                <w:color w:val="auto"/>
              </w:rPr>
            </w:pPr>
          </w:p>
        </w:tc>
        <w:tc>
          <w:tcPr>
            <w:tcW w:w="240" w:type="dxa"/>
            <w:vAlign w:val="bottom"/>
            <w:tcBorders>
              <w:bottom w:val="single" w:sz="8" w:color="CCECFF"/>
            </w:tcBorders>
            <w:shd w:val="clear" w:color="auto" w:fill="CCECFF"/>
          </w:tcPr>
          <w:p>
            <w:pPr>
              <w:spacing w:after="0"/>
              <w:rPr>
                <w:sz w:val="19"/>
                <w:szCs w:val="19"/>
                <w:color w:val="auto"/>
              </w:rPr>
            </w:pPr>
          </w:p>
        </w:tc>
        <w:tc>
          <w:tcPr>
            <w:tcW w:w="1320" w:type="dxa"/>
            <w:vAlign w:val="bottom"/>
            <w:tcBorders>
              <w:bottom w:val="single" w:sz="8" w:color="CCECFF"/>
            </w:tcBorders>
            <w:shd w:val="clear" w:color="auto" w:fill="CCECFF"/>
          </w:tcPr>
          <w:p>
            <w:pPr>
              <w:spacing w:after="0"/>
              <w:rPr>
                <w:sz w:val="19"/>
                <w:szCs w:val="19"/>
                <w:color w:val="auto"/>
              </w:rPr>
            </w:pPr>
          </w:p>
        </w:tc>
        <w:tc>
          <w:tcPr>
            <w:tcW w:w="100" w:type="dxa"/>
            <w:vAlign w:val="bottom"/>
            <w:tcBorders>
              <w:bottom w:val="single" w:sz="8" w:color="CCECFF"/>
            </w:tcBorders>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600" w:type="dxa"/>
            <w:vAlign w:val="bottom"/>
          </w:tcPr>
          <w:p>
            <w:pPr>
              <w:ind w:left="200"/>
              <w:spacing w:after="0" w:line="215" w:lineRule="exact"/>
              <w:rPr>
                <w:sz w:val="20"/>
                <w:szCs w:val="20"/>
                <w:color w:val="auto"/>
              </w:rPr>
            </w:pPr>
            <w:r>
              <w:rPr>
                <w:rFonts w:ascii="Calibri" w:cs="Calibri" w:eastAsia="Calibri" w:hAnsi="Calibri"/>
                <w:sz w:val="18"/>
                <w:szCs w:val="18"/>
                <w:color w:val="auto"/>
              </w:rPr>
              <w:t>Accounts payable</w:t>
            </w:r>
          </w:p>
        </w:tc>
        <w:tc>
          <w:tcPr>
            <w:tcW w:w="26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w:t>
            </w:r>
          </w:p>
        </w:tc>
        <w:tc>
          <w:tcPr>
            <w:tcW w:w="1320" w:type="dxa"/>
            <w:vAlign w:val="bottom"/>
          </w:tcPr>
          <w:p>
            <w:pPr>
              <w:jc w:val="right"/>
              <w:spacing w:after="0" w:line="215" w:lineRule="exact"/>
              <w:rPr>
                <w:sz w:val="20"/>
                <w:szCs w:val="20"/>
                <w:color w:val="auto"/>
              </w:rPr>
            </w:pPr>
            <w:r>
              <w:rPr>
                <w:rFonts w:ascii="Calibri" w:cs="Calibri" w:eastAsia="Calibri" w:hAnsi="Calibri"/>
                <w:sz w:val="18"/>
                <w:szCs w:val="18"/>
                <w:color w:val="auto"/>
              </w:rPr>
              <w:t>18,118</w:t>
            </w:r>
          </w:p>
        </w:tc>
        <w:tc>
          <w:tcPr>
            <w:tcW w:w="400" w:type="dxa"/>
            <w:vAlign w:val="bottom"/>
          </w:tcPr>
          <w:p>
            <w:pPr>
              <w:spacing w:after="0"/>
              <w:rPr>
                <w:sz w:val="18"/>
                <w:szCs w:val="18"/>
                <w:color w:val="auto"/>
              </w:rPr>
            </w:pPr>
          </w:p>
        </w:tc>
        <w:tc>
          <w:tcPr>
            <w:tcW w:w="24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w w:val="87"/>
              </w:rPr>
              <w:t>$</w:t>
            </w:r>
          </w:p>
        </w:tc>
        <w:tc>
          <w:tcPr>
            <w:tcW w:w="1320" w:type="dxa"/>
            <w:vAlign w:val="bottom"/>
          </w:tcPr>
          <w:p>
            <w:pPr>
              <w:jc w:val="right"/>
              <w:spacing w:after="0" w:line="215" w:lineRule="exact"/>
              <w:rPr>
                <w:sz w:val="20"/>
                <w:szCs w:val="20"/>
                <w:color w:val="auto"/>
              </w:rPr>
            </w:pPr>
            <w:r>
              <w:rPr>
                <w:rFonts w:ascii="Calibri" w:cs="Calibri" w:eastAsia="Calibri" w:hAnsi="Calibri"/>
                <w:sz w:val="18"/>
                <w:szCs w:val="18"/>
                <w:color w:val="auto"/>
              </w:rPr>
              <w:t>14,198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7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600" w:type="dxa"/>
            <w:vAlign w:val="bottom"/>
            <w:tcBorders>
              <w:bottom w:val="single" w:sz="8" w:color="CCECFF"/>
            </w:tcBorders>
            <w:shd w:val="clear" w:color="auto" w:fill="CCECFF"/>
          </w:tcPr>
          <w:p>
            <w:pPr>
              <w:ind w:left="200"/>
              <w:spacing w:after="0" w:line="215" w:lineRule="exact"/>
              <w:rPr>
                <w:sz w:val="20"/>
                <w:szCs w:val="20"/>
                <w:color w:val="auto"/>
              </w:rPr>
            </w:pPr>
            <w:r>
              <w:rPr>
                <w:rFonts w:ascii="Calibri" w:cs="Calibri" w:eastAsia="Calibri" w:hAnsi="Calibri"/>
                <w:sz w:val="18"/>
                <w:szCs w:val="18"/>
                <w:color w:val="auto"/>
              </w:rPr>
              <w:t>Accrued expenses</w:t>
            </w:r>
          </w:p>
        </w:tc>
        <w:tc>
          <w:tcPr>
            <w:tcW w:w="260" w:type="dxa"/>
            <w:vAlign w:val="bottom"/>
            <w:tcBorders>
              <w:bottom w:val="single" w:sz="8" w:color="CCECFF"/>
            </w:tcBorders>
            <w:shd w:val="clear" w:color="auto" w:fill="CCECFF"/>
          </w:tcPr>
          <w:p>
            <w:pPr>
              <w:spacing w:after="0"/>
              <w:rPr>
                <w:sz w:val="19"/>
                <w:szCs w:val="19"/>
                <w:color w:val="auto"/>
              </w:rPr>
            </w:pPr>
          </w:p>
        </w:tc>
        <w:tc>
          <w:tcPr>
            <w:tcW w:w="1320" w:type="dxa"/>
            <w:vAlign w:val="bottom"/>
            <w:tcBorders>
              <w:bottom w:val="single" w:sz="8" w:color="CCECFF"/>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11,725</w:t>
            </w:r>
          </w:p>
        </w:tc>
        <w:tc>
          <w:tcPr>
            <w:tcW w:w="400" w:type="dxa"/>
            <w:vAlign w:val="bottom"/>
            <w:tcBorders>
              <w:bottom w:val="single" w:sz="8" w:color="CCECFF"/>
            </w:tcBorders>
            <w:shd w:val="clear" w:color="auto" w:fill="CCECFF"/>
          </w:tcPr>
          <w:p>
            <w:pPr>
              <w:spacing w:after="0"/>
              <w:rPr>
                <w:sz w:val="19"/>
                <w:szCs w:val="19"/>
                <w:color w:val="auto"/>
              </w:rPr>
            </w:pPr>
          </w:p>
        </w:tc>
        <w:tc>
          <w:tcPr>
            <w:tcW w:w="240" w:type="dxa"/>
            <w:vAlign w:val="bottom"/>
            <w:tcBorders>
              <w:bottom w:val="single" w:sz="8" w:color="CCECFF"/>
            </w:tcBorders>
            <w:shd w:val="clear" w:color="auto" w:fill="CCECFF"/>
          </w:tcPr>
          <w:p>
            <w:pPr>
              <w:spacing w:after="0"/>
              <w:rPr>
                <w:sz w:val="19"/>
                <w:szCs w:val="19"/>
                <w:color w:val="auto"/>
              </w:rPr>
            </w:pPr>
          </w:p>
        </w:tc>
        <w:tc>
          <w:tcPr>
            <w:tcW w:w="1320" w:type="dxa"/>
            <w:vAlign w:val="bottom"/>
            <w:tcBorders>
              <w:bottom w:val="single" w:sz="8" w:color="CCECFF"/>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9,687</w:t>
            </w:r>
          </w:p>
        </w:tc>
        <w:tc>
          <w:tcPr>
            <w:tcW w:w="100" w:type="dxa"/>
            <w:vAlign w:val="bottom"/>
            <w:tcBorders>
              <w:bottom w:val="single" w:sz="8" w:color="CCECFF"/>
            </w:tcBorders>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600" w:type="dxa"/>
            <w:vAlign w:val="bottom"/>
          </w:tcPr>
          <w:p>
            <w:pPr>
              <w:ind w:left="200"/>
              <w:spacing w:after="0" w:line="215" w:lineRule="exact"/>
              <w:rPr>
                <w:sz w:val="20"/>
                <w:szCs w:val="20"/>
                <w:color w:val="auto"/>
              </w:rPr>
            </w:pPr>
            <w:r>
              <w:rPr>
                <w:rFonts w:ascii="Calibri" w:cs="Calibri" w:eastAsia="Calibri" w:hAnsi="Calibri"/>
                <w:sz w:val="18"/>
                <w:szCs w:val="18"/>
                <w:color w:val="auto"/>
              </w:rPr>
              <w:t>Accrued payroll and incentves</w:t>
            </w:r>
          </w:p>
        </w:tc>
        <w:tc>
          <w:tcPr>
            <w:tcW w:w="260" w:type="dxa"/>
            <w:vAlign w:val="bottom"/>
          </w:tcPr>
          <w:p>
            <w:pPr>
              <w:spacing w:after="0"/>
              <w:rPr>
                <w:sz w:val="18"/>
                <w:szCs w:val="18"/>
                <w:color w:val="auto"/>
              </w:rPr>
            </w:pPr>
          </w:p>
        </w:tc>
        <w:tc>
          <w:tcPr>
            <w:tcW w:w="1320" w:type="dxa"/>
            <w:vAlign w:val="bottom"/>
          </w:tcPr>
          <w:p>
            <w:pPr>
              <w:jc w:val="right"/>
              <w:spacing w:after="0" w:line="215" w:lineRule="exact"/>
              <w:rPr>
                <w:sz w:val="20"/>
                <w:szCs w:val="20"/>
                <w:color w:val="auto"/>
              </w:rPr>
            </w:pPr>
            <w:r>
              <w:rPr>
                <w:rFonts w:ascii="Calibri" w:cs="Calibri" w:eastAsia="Calibri" w:hAnsi="Calibri"/>
                <w:sz w:val="18"/>
                <w:szCs w:val="18"/>
                <w:color w:val="auto"/>
              </w:rPr>
              <w:t>4,923</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line="215" w:lineRule="exact"/>
              <w:rPr>
                <w:sz w:val="20"/>
                <w:szCs w:val="20"/>
                <w:color w:val="auto"/>
              </w:rPr>
            </w:pPr>
            <w:r>
              <w:rPr>
                <w:rFonts w:ascii="Calibri" w:cs="Calibri" w:eastAsia="Calibri" w:hAnsi="Calibri"/>
                <w:sz w:val="18"/>
                <w:szCs w:val="18"/>
                <w:color w:val="auto"/>
              </w:rPr>
              <w:t>4,167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7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600" w:type="dxa"/>
            <w:vAlign w:val="bottom"/>
            <w:tcBorders>
              <w:bottom w:val="single" w:sz="8" w:color="CCECFF"/>
            </w:tcBorders>
            <w:shd w:val="clear" w:color="auto" w:fill="CCECFF"/>
          </w:tcPr>
          <w:p>
            <w:pPr>
              <w:ind w:left="200"/>
              <w:spacing w:after="0" w:line="215" w:lineRule="exact"/>
              <w:rPr>
                <w:sz w:val="20"/>
                <w:szCs w:val="20"/>
                <w:color w:val="auto"/>
              </w:rPr>
            </w:pPr>
            <w:r>
              <w:rPr>
                <w:rFonts w:ascii="Calibri" w:cs="Calibri" w:eastAsia="Calibri" w:hAnsi="Calibri"/>
                <w:sz w:val="18"/>
                <w:szCs w:val="18"/>
                <w:color w:val="auto"/>
              </w:rPr>
              <w:t>Lease liabilites, current</w:t>
            </w:r>
          </w:p>
        </w:tc>
        <w:tc>
          <w:tcPr>
            <w:tcW w:w="260" w:type="dxa"/>
            <w:vAlign w:val="bottom"/>
            <w:tcBorders>
              <w:bottom w:val="single" w:sz="8" w:color="CCECFF"/>
            </w:tcBorders>
            <w:shd w:val="clear" w:color="auto" w:fill="CCECFF"/>
          </w:tcPr>
          <w:p>
            <w:pPr>
              <w:spacing w:after="0"/>
              <w:rPr>
                <w:sz w:val="21"/>
                <w:szCs w:val="21"/>
                <w:color w:val="auto"/>
              </w:rPr>
            </w:pPr>
          </w:p>
        </w:tc>
        <w:tc>
          <w:tcPr>
            <w:tcW w:w="1320" w:type="dxa"/>
            <w:vAlign w:val="bottom"/>
            <w:tcBorders>
              <w:bottom w:val="single" w:sz="8" w:color="CCECFF"/>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1,359</w:t>
            </w:r>
          </w:p>
        </w:tc>
        <w:tc>
          <w:tcPr>
            <w:tcW w:w="400" w:type="dxa"/>
            <w:vAlign w:val="bottom"/>
            <w:tcBorders>
              <w:bottom w:val="single" w:sz="8" w:color="CCECFF"/>
            </w:tcBorders>
            <w:shd w:val="clear" w:color="auto" w:fill="CCECFF"/>
          </w:tcPr>
          <w:p>
            <w:pPr>
              <w:spacing w:after="0"/>
              <w:rPr>
                <w:sz w:val="21"/>
                <w:szCs w:val="21"/>
                <w:color w:val="auto"/>
              </w:rPr>
            </w:pPr>
          </w:p>
        </w:tc>
        <w:tc>
          <w:tcPr>
            <w:tcW w:w="240" w:type="dxa"/>
            <w:vAlign w:val="bottom"/>
            <w:tcBorders>
              <w:bottom w:val="single" w:sz="8" w:color="CCECFF"/>
            </w:tcBorders>
            <w:shd w:val="clear" w:color="auto" w:fill="CCECFF"/>
          </w:tcPr>
          <w:p>
            <w:pPr>
              <w:spacing w:after="0"/>
              <w:rPr>
                <w:sz w:val="21"/>
                <w:szCs w:val="21"/>
                <w:color w:val="auto"/>
              </w:rPr>
            </w:pPr>
          </w:p>
        </w:tc>
        <w:tc>
          <w:tcPr>
            <w:tcW w:w="1320" w:type="dxa"/>
            <w:vAlign w:val="bottom"/>
            <w:tcBorders>
              <w:bottom w:val="single" w:sz="8" w:color="CCECFF"/>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1,331</w:t>
            </w:r>
          </w:p>
        </w:tc>
        <w:tc>
          <w:tcPr>
            <w:tcW w:w="100" w:type="dxa"/>
            <w:vAlign w:val="bottom"/>
            <w:tcBorders>
              <w:bottom w:val="single" w:sz="8" w:color="CCECFF"/>
            </w:tcBorders>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7600" w:type="dxa"/>
            <w:vAlign w:val="bottom"/>
          </w:tcPr>
          <w:p>
            <w:pPr>
              <w:ind w:left="440"/>
              <w:spacing w:after="0" w:line="199" w:lineRule="exact"/>
              <w:rPr>
                <w:sz w:val="20"/>
                <w:szCs w:val="20"/>
                <w:color w:val="auto"/>
              </w:rPr>
            </w:pPr>
            <w:r>
              <w:rPr>
                <w:rFonts w:ascii="Calibri" w:cs="Calibri" w:eastAsia="Calibri" w:hAnsi="Calibri"/>
                <w:sz w:val="18"/>
                <w:szCs w:val="18"/>
                <w:color w:val="auto"/>
              </w:rPr>
              <w:t>Total current liabilites</w:t>
            </w:r>
          </w:p>
        </w:tc>
        <w:tc>
          <w:tcPr>
            <w:tcW w:w="2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36,125</w:t>
            </w:r>
          </w:p>
        </w:tc>
        <w:tc>
          <w:tcPr>
            <w:tcW w:w="4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29,383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7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600" w:type="dxa"/>
            <w:vAlign w:val="bottom"/>
            <w:tcBorders>
              <w:bottom w:val="single" w:sz="8" w:color="CCECFF"/>
            </w:tcBorders>
            <w:shd w:val="clear" w:color="auto" w:fill="CCECFF"/>
          </w:tcPr>
          <w:p>
            <w:pPr>
              <w:ind w:left="20"/>
              <w:spacing w:after="0" w:line="215" w:lineRule="exact"/>
              <w:rPr>
                <w:sz w:val="20"/>
                <w:szCs w:val="20"/>
                <w:color w:val="auto"/>
              </w:rPr>
            </w:pPr>
            <w:r>
              <w:rPr>
                <w:rFonts w:ascii="Calibri" w:cs="Calibri" w:eastAsia="Calibri" w:hAnsi="Calibri"/>
                <w:sz w:val="18"/>
                <w:szCs w:val="18"/>
                <w:color w:val="auto"/>
              </w:rPr>
              <w:t>Lease liabilites, net of current porton</w:t>
            </w:r>
          </w:p>
        </w:tc>
        <w:tc>
          <w:tcPr>
            <w:tcW w:w="260" w:type="dxa"/>
            <w:vAlign w:val="bottom"/>
            <w:tcBorders>
              <w:bottom w:val="single" w:sz="8" w:color="CCECFF"/>
            </w:tcBorders>
            <w:shd w:val="clear" w:color="auto" w:fill="CCECFF"/>
          </w:tcPr>
          <w:p>
            <w:pPr>
              <w:spacing w:after="0"/>
              <w:rPr>
                <w:sz w:val="21"/>
                <w:szCs w:val="21"/>
                <w:color w:val="auto"/>
              </w:rPr>
            </w:pPr>
          </w:p>
        </w:tc>
        <w:tc>
          <w:tcPr>
            <w:tcW w:w="1320" w:type="dxa"/>
            <w:vAlign w:val="bottom"/>
            <w:tcBorders>
              <w:bottom w:val="single" w:sz="8" w:color="CCECFF"/>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32,951</w:t>
            </w:r>
          </w:p>
        </w:tc>
        <w:tc>
          <w:tcPr>
            <w:tcW w:w="400" w:type="dxa"/>
            <w:vAlign w:val="bottom"/>
            <w:tcBorders>
              <w:bottom w:val="single" w:sz="8" w:color="CCECFF"/>
            </w:tcBorders>
            <w:shd w:val="clear" w:color="auto" w:fill="CCECFF"/>
          </w:tcPr>
          <w:p>
            <w:pPr>
              <w:spacing w:after="0"/>
              <w:rPr>
                <w:sz w:val="21"/>
                <w:szCs w:val="21"/>
                <w:color w:val="auto"/>
              </w:rPr>
            </w:pPr>
          </w:p>
        </w:tc>
        <w:tc>
          <w:tcPr>
            <w:tcW w:w="240" w:type="dxa"/>
            <w:vAlign w:val="bottom"/>
            <w:tcBorders>
              <w:bottom w:val="single" w:sz="8" w:color="CCECFF"/>
            </w:tcBorders>
            <w:shd w:val="clear" w:color="auto" w:fill="CCECFF"/>
          </w:tcPr>
          <w:p>
            <w:pPr>
              <w:spacing w:after="0"/>
              <w:rPr>
                <w:sz w:val="21"/>
                <w:szCs w:val="21"/>
                <w:color w:val="auto"/>
              </w:rPr>
            </w:pPr>
          </w:p>
        </w:tc>
        <w:tc>
          <w:tcPr>
            <w:tcW w:w="1320" w:type="dxa"/>
            <w:vAlign w:val="bottom"/>
            <w:tcBorders>
              <w:bottom w:val="single" w:sz="8" w:color="CCECFF"/>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33,289</w:t>
            </w:r>
          </w:p>
        </w:tc>
        <w:tc>
          <w:tcPr>
            <w:tcW w:w="100" w:type="dxa"/>
            <w:vAlign w:val="bottom"/>
            <w:tcBorders>
              <w:bottom w:val="single" w:sz="8" w:color="CCECFF"/>
            </w:tcBorders>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440"/>
              <w:spacing w:after="0" w:line="213" w:lineRule="exact"/>
              <w:rPr>
                <w:sz w:val="20"/>
                <w:szCs w:val="20"/>
                <w:color w:val="auto"/>
              </w:rPr>
            </w:pPr>
            <w:r>
              <w:rPr>
                <w:rFonts w:ascii="Calibri" w:cs="Calibri" w:eastAsia="Calibri" w:hAnsi="Calibri"/>
                <w:sz w:val="18"/>
                <w:szCs w:val="18"/>
                <w:color w:val="auto"/>
              </w:rPr>
              <w:t>Total liabilites</w:t>
            </w:r>
          </w:p>
        </w:tc>
        <w:tc>
          <w:tcPr>
            <w:tcW w:w="2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line="213" w:lineRule="exact"/>
              <w:rPr>
                <w:sz w:val="20"/>
                <w:szCs w:val="20"/>
                <w:color w:val="auto"/>
              </w:rPr>
            </w:pPr>
            <w:r>
              <w:rPr>
                <w:rFonts w:ascii="Calibri" w:cs="Calibri" w:eastAsia="Calibri" w:hAnsi="Calibri"/>
                <w:sz w:val="18"/>
                <w:szCs w:val="18"/>
                <w:color w:val="auto"/>
              </w:rPr>
              <w:t>69,076</w:t>
            </w:r>
          </w:p>
        </w:tc>
        <w:tc>
          <w:tcPr>
            <w:tcW w:w="4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line="213" w:lineRule="exact"/>
              <w:rPr>
                <w:sz w:val="20"/>
                <w:szCs w:val="20"/>
                <w:color w:val="auto"/>
              </w:rPr>
            </w:pPr>
            <w:r>
              <w:rPr>
                <w:rFonts w:ascii="Calibri" w:cs="Calibri" w:eastAsia="Calibri" w:hAnsi="Calibri"/>
                <w:sz w:val="18"/>
                <w:szCs w:val="18"/>
                <w:color w:val="auto"/>
              </w:rPr>
              <w:t>62,672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76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600" w:type="dxa"/>
            <w:vAlign w:val="bottom"/>
            <w:tcBorders>
              <w:bottom w:val="single" w:sz="8" w:color="CCECFF"/>
            </w:tcBorders>
            <w:shd w:val="clear" w:color="auto" w:fill="CCECFF"/>
          </w:tcPr>
          <w:p>
            <w:pPr>
              <w:ind w:left="20"/>
              <w:spacing w:after="0" w:line="208" w:lineRule="exact"/>
              <w:rPr>
                <w:sz w:val="20"/>
                <w:szCs w:val="20"/>
                <w:color w:val="auto"/>
              </w:rPr>
            </w:pPr>
            <w:r>
              <w:rPr>
                <w:rFonts w:ascii="Calibri" w:cs="Calibri" w:eastAsia="Calibri" w:hAnsi="Calibri"/>
                <w:sz w:val="18"/>
                <w:szCs w:val="18"/>
                <w:color w:val="auto"/>
              </w:rPr>
              <w:t>Commitments and contngencies</w:t>
            </w:r>
          </w:p>
        </w:tc>
        <w:tc>
          <w:tcPr>
            <w:tcW w:w="260" w:type="dxa"/>
            <w:vAlign w:val="bottom"/>
            <w:tcBorders>
              <w:bottom w:val="single" w:sz="8" w:color="CCECFF"/>
            </w:tcBorders>
            <w:shd w:val="clear" w:color="auto" w:fill="CCECFF"/>
          </w:tcPr>
          <w:p>
            <w:pPr>
              <w:spacing w:after="0"/>
              <w:rPr>
                <w:sz w:val="18"/>
                <w:szCs w:val="18"/>
                <w:color w:val="auto"/>
              </w:rPr>
            </w:pPr>
          </w:p>
        </w:tc>
        <w:tc>
          <w:tcPr>
            <w:tcW w:w="1320" w:type="dxa"/>
            <w:vAlign w:val="bottom"/>
            <w:tcBorders>
              <w:bottom w:val="single" w:sz="8" w:color="CCECFF"/>
            </w:tcBorders>
            <w:shd w:val="clear" w:color="auto" w:fill="CCECFF"/>
          </w:tcPr>
          <w:p>
            <w:pPr>
              <w:spacing w:after="0"/>
              <w:rPr>
                <w:sz w:val="18"/>
                <w:szCs w:val="18"/>
                <w:color w:val="auto"/>
              </w:rPr>
            </w:pPr>
          </w:p>
        </w:tc>
        <w:tc>
          <w:tcPr>
            <w:tcW w:w="400" w:type="dxa"/>
            <w:vAlign w:val="bottom"/>
            <w:tcBorders>
              <w:bottom w:val="single" w:sz="8" w:color="CCECFF"/>
            </w:tcBorders>
            <w:shd w:val="clear" w:color="auto" w:fill="CCECFF"/>
          </w:tcPr>
          <w:p>
            <w:pPr>
              <w:spacing w:after="0"/>
              <w:rPr>
                <w:sz w:val="18"/>
                <w:szCs w:val="18"/>
                <w:color w:val="auto"/>
              </w:rPr>
            </w:pPr>
          </w:p>
        </w:tc>
        <w:tc>
          <w:tcPr>
            <w:tcW w:w="240" w:type="dxa"/>
            <w:vAlign w:val="bottom"/>
            <w:tcBorders>
              <w:bottom w:val="single" w:sz="8" w:color="CCECFF"/>
            </w:tcBorders>
            <w:shd w:val="clear" w:color="auto" w:fill="CCECFF"/>
          </w:tcPr>
          <w:p>
            <w:pPr>
              <w:spacing w:after="0"/>
              <w:rPr>
                <w:sz w:val="18"/>
                <w:szCs w:val="18"/>
                <w:color w:val="auto"/>
              </w:rPr>
            </w:pPr>
          </w:p>
        </w:tc>
        <w:tc>
          <w:tcPr>
            <w:tcW w:w="1320" w:type="dxa"/>
            <w:vAlign w:val="bottom"/>
            <w:tcBorders>
              <w:bottom w:val="single" w:sz="8" w:color="CCECFF"/>
            </w:tcBorders>
            <w:shd w:val="clear" w:color="auto" w:fill="CCECFF"/>
          </w:tcPr>
          <w:p>
            <w:pPr>
              <w:spacing w:after="0"/>
              <w:rPr>
                <w:sz w:val="18"/>
                <w:szCs w:val="18"/>
                <w:color w:val="auto"/>
              </w:rPr>
            </w:pPr>
          </w:p>
        </w:tc>
        <w:tc>
          <w:tcPr>
            <w:tcW w:w="10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600" w:type="dxa"/>
            <w:vAlign w:val="bottom"/>
          </w:tcPr>
          <w:p>
            <w:pPr>
              <w:ind w:left="20"/>
              <w:spacing w:after="0" w:line="215" w:lineRule="exact"/>
              <w:rPr>
                <w:sz w:val="20"/>
                <w:szCs w:val="20"/>
                <w:color w:val="auto"/>
              </w:rPr>
            </w:pPr>
            <w:r>
              <w:rPr>
                <w:rFonts w:ascii="Calibri" w:cs="Calibri" w:eastAsia="Calibri" w:hAnsi="Calibri"/>
                <w:sz w:val="18"/>
                <w:szCs w:val="18"/>
                <w:color w:val="auto"/>
              </w:rPr>
              <w:t>Equity:</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7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7600" w:type="dxa"/>
            <w:vAlign w:val="bottom"/>
            <w:shd w:val="clear" w:color="auto" w:fill="CCECFF"/>
          </w:tcPr>
          <w:p>
            <w:pPr>
              <w:ind w:left="200"/>
              <w:spacing w:after="0" w:line="207" w:lineRule="exact"/>
              <w:rPr>
                <w:sz w:val="20"/>
                <w:szCs w:val="20"/>
                <w:color w:val="auto"/>
              </w:rPr>
            </w:pPr>
            <w:r>
              <w:rPr>
                <w:rFonts w:ascii="Calibri" w:cs="Calibri" w:eastAsia="Calibri" w:hAnsi="Calibri"/>
                <w:sz w:val="18"/>
                <w:szCs w:val="18"/>
                <w:color w:val="auto"/>
              </w:rPr>
              <w:t>Preferred stock, $0.001 par value, 20,000,000 shares authorized, no</w:t>
            </w:r>
          </w:p>
        </w:tc>
        <w:tc>
          <w:tcPr>
            <w:tcW w:w="260" w:type="dxa"/>
            <w:vAlign w:val="bottom"/>
            <w:shd w:val="clear" w:color="auto" w:fill="CCECFF"/>
          </w:tcPr>
          <w:p>
            <w:pPr>
              <w:spacing w:after="0"/>
              <w:rPr>
                <w:sz w:val="18"/>
                <w:szCs w:val="18"/>
                <w:color w:val="auto"/>
              </w:rPr>
            </w:pPr>
          </w:p>
        </w:tc>
        <w:tc>
          <w:tcPr>
            <w:tcW w:w="1320" w:type="dxa"/>
            <w:vAlign w:val="bottom"/>
            <w:shd w:val="clear" w:color="auto" w:fill="CCECFF"/>
          </w:tcPr>
          <w:p>
            <w:pPr>
              <w:spacing w:after="0"/>
              <w:rPr>
                <w:sz w:val="18"/>
                <w:szCs w:val="18"/>
                <w:color w:val="auto"/>
              </w:rPr>
            </w:pPr>
          </w:p>
        </w:tc>
        <w:tc>
          <w:tcPr>
            <w:tcW w:w="40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132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7600" w:type="dxa"/>
            <w:vAlign w:val="bottom"/>
            <w:tcBorders>
              <w:bottom w:val="single" w:sz="8" w:color="CCECFF"/>
            </w:tcBorders>
            <w:shd w:val="clear" w:color="auto" w:fill="CCECFF"/>
          </w:tcPr>
          <w:p>
            <w:pPr>
              <w:ind w:left="320"/>
              <w:spacing w:after="0" w:line="215" w:lineRule="exact"/>
              <w:rPr>
                <w:sz w:val="20"/>
                <w:szCs w:val="20"/>
                <w:color w:val="auto"/>
              </w:rPr>
            </w:pPr>
            <w:r>
              <w:rPr>
                <w:rFonts w:ascii="Calibri" w:cs="Calibri" w:eastAsia="Calibri" w:hAnsi="Calibri"/>
                <w:sz w:val="18"/>
                <w:szCs w:val="18"/>
                <w:color w:val="auto"/>
              </w:rPr>
              <w:t>shares issued or outstanding on July 31, 2024 and April 30, 2024</w:t>
            </w:r>
          </w:p>
        </w:tc>
        <w:tc>
          <w:tcPr>
            <w:tcW w:w="260" w:type="dxa"/>
            <w:vAlign w:val="bottom"/>
            <w:tcBorders>
              <w:bottom w:val="single" w:sz="8" w:color="CCECFF"/>
            </w:tcBorders>
            <w:shd w:val="clear" w:color="auto" w:fill="CCECFF"/>
          </w:tcPr>
          <w:p>
            <w:pPr>
              <w:spacing w:after="0"/>
              <w:rPr>
                <w:sz w:val="20"/>
                <w:szCs w:val="20"/>
                <w:color w:val="auto"/>
              </w:rPr>
            </w:pPr>
          </w:p>
        </w:tc>
        <w:tc>
          <w:tcPr>
            <w:tcW w:w="1720" w:type="dxa"/>
            <w:vAlign w:val="bottom"/>
            <w:tcBorders>
              <w:bottom w:val="single" w:sz="8" w:color="CCECFF"/>
            </w:tcBorders>
            <w:gridSpan w:val="2"/>
            <w:shd w:val="clear" w:color="auto" w:fill="CCECFF"/>
          </w:tcPr>
          <w:p>
            <w:pPr>
              <w:jc w:val="right"/>
              <w:ind w:right="328"/>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Borders>
              <w:bottom w:val="single" w:sz="8" w:color="CCECFF"/>
            </w:tcBorders>
            <w:shd w:val="clear" w:color="auto" w:fill="CCECFF"/>
          </w:tcPr>
          <w:p>
            <w:pPr>
              <w:spacing w:after="0"/>
              <w:rPr>
                <w:sz w:val="20"/>
                <w:szCs w:val="20"/>
                <w:color w:val="auto"/>
              </w:rPr>
            </w:pPr>
          </w:p>
        </w:tc>
        <w:tc>
          <w:tcPr>
            <w:tcW w:w="1420" w:type="dxa"/>
            <w:vAlign w:val="bottom"/>
            <w:tcBorders>
              <w:bottom w:val="single" w:sz="8" w:color="CCECFF"/>
            </w:tcBorders>
            <w:gridSpan w:val="2"/>
            <w:shd w:val="clear" w:color="auto" w:fill="CCECFF"/>
          </w:tcPr>
          <w:p>
            <w:pPr>
              <w:jc w:val="right"/>
              <w:ind w:right="120"/>
              <w:spacing w:after="0" w:line="215"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07"/>
        </w:trPr>
        <w:tc>
          <w:tcPr>
            <w:tcW w:w="7600" w:type="dxa"/>
            <w:vAlign w:val="bottom"/>
          </w:tcPr>
          <w:p>
            <w:pPr>
              <w:ind w:left="200"/>
              <w:spacing w:after="0" w:line="207" w:lineRule="exact"/>
              <w:rPr>
                <w:sz w:val="20"/>
                <w:szCs w:val="20"/>
                <w:color w:val="auto"/>
              </w:rPr>
            </w:pPr>
            <w:r>
              <w:rPr>
                <w:rFonts w:ascii="Calibri" w:cs="Calibri" w:eastAsia="Calibri" w:hAnsi="Calibri"/>
                <w:sz w:val="18"/>
                <w:szCs w:val="18"/>
                <w:color w:val="auto"/>
              </w:rPr>
              <w:t>Common stock, $0.001 par value, 100,000,000 shares authorized, 14,820,494 shares</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600" w:type="dxa"/>
            <w:vAlign w:val="bottom"/>
          </w:tcPr>
          <w:p>
            <w:pPr>
              <w:ind w:left="320"/>
              <w:spacing w:after="0" w:line="215" w:lineRule="exact"/>
              <w:rPr>
                <w:sz w:val="20"/>
                <w:szCs w:val="20"/>
                <w:color w:val="auto"/>
              </w:rPr>
            </w:pPr>
            <w:r>
              <w:rPr>
                <w:rFonts w:ascii="Calibri" w:cs="Calibri" w:eastAsia="Calibri" w:hAnsi="Calibri"/>
                <w:sz w:val="18"/>
                <w:szCs w:val="18"/>
                <w:color w:val="auto"/>
              </w:rPr>
              <w:t>issued and 12,875,062 shares outstanding on July 31, 2024 and 14,701,280</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ind w:left="320"/>
              <w:spacing w:after="0" w:line="216" w:lineRule="exact"/>
              <w:rPr>
                <w:sz w:val="20"/>
                <w:szCs w:val="20"/>
                <w:color w:val="auto"/>
              </w:rPr>
            </w:pPr>
            <w:r>
              <w:rPr>
                <w:rFonts w:ascii="Calibri" w:cs="Calibri" w:eastAsia="Calibri" w:hAnsi="Calibri"/>
                <w:sz w:val="18"/>
                <w:szCs w:val="18"/>
                <w:color w:val="auto"/>
              </w:rPr>
              <w:t>shares issued and 12,797,865 shares outstanding on April 30, 2024</w:t>
            </w:r>
          </w:p>
        </w:tc>
        <w:tc>
          <w:tcPr>
            <w:tcW w:w="260" w:type="dxa"/>
            <w:vAlign w:val="bottom"/>
          </w:tcPr>
          <w:p>
            <w:pPr>
              <w:spacing w:after="0"/>
              <w:rPr>
                <w:sz w:val="18"/>
                <w:szCs w:val="18"/>
                <w:color w:val="auto"/>
              </w:rPr>
            </w:pPr>
          </w:p>
        </w:tc>
        <w:tc>
          <w:tcPr>
            <w:tcW w:w="1320" w:type="dxa"/>
            <w:vAlign w:val="bottom"/>
          </w:tcPr>
          <w:p>
            <w:pPr>
              <w:jc w:val="right"/>
              <w:spacing w:after="0" w:line="216" w:lineRule="exact"/>
              <w:rPr>
                <w:sz w:val="20"/>
                <w:szCs w:val="20"/>
                <w:color w:val="auto"/>
              </w:rPr>
            </w:pPr>
            <w:r>
              <w:rPr>
                <w:rFonts w:ascii="Calibri" w:cs="Calibri" w:eastAsia="Calibri" w:hAnsi="Calibri"/>
                <w:sz w:val="18"/>
                <w:szCs w:val="18"/>
                <w:color w:val="auto"/>
              </w:rPr>
              <w:t>15</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line="216" w:lineRule="exact"/>
              <w:rPr>
                <w:sz w:val="20"/>
                <w:szCs w:val="20"/>
                <w:color w:val="auto"/>
              </w:rPr>
            </w:pPr>
            <w:r>
              <w:rPr>
                <w:rFonts w:ascii="Calibri" w:cs="Calibri" w:eastAsia="Calibri" w:hAnsi="Calibri"/>
                <w:sz w:val="18"/>
                <w:szCs w:val="18"/>
                <w:color w:val="auto"/>
              </w:rPr>
              <w:t>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7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7600" w:type="dxa"/>
            <w:vAlign w:val="bottom"/>
            <w:tcBorders>
              <w:bottom w:val="single" w:sz="8" w:color="CCECFF"/>
            </w:tcBorders>
            <w:shd w:val="clear" w:color="auto" w:fill="CCECFF"/>
          </w:tcPr>
          <w:p>
            <w:pPr>
              <w:ind w:left="200"/>
              <w:spacing w:after="0" w:line="215" w:lineRule="exact"/>
              <w:rPr>
                <w:sz w:val="20"/>
                <w:szCs w:val="20"/>
                <w:color w:val="auto"/>
              </w:rPr>
            </w:pPr>
            <w:r>
              <w:rPr>
                <w:rFonts w:ascii="Calibri" w:cs="Calibri" w:eastAsia="Calibri" w:hAnsi="Calibri"/>
                <w:sz w:val="18"/>
                <w:szCs w:val="18"/>
                <w:color w:val="auto"/>
              </w:rPr>
              <w:t>Additonal paid in capital</w:t>
            </w:r>
          </w:p>
        </w:tc>
        <w:tc>
          <w:tcPr>
            <w:tcW w:w="260" w:type="dxa"/>
            <w:vAlign w:val="bottom"/>
            <w:tcBorders>
              <w:bottom w:val="single" w:sz="8" w:color="CCECFF"/>
            </w:tcBorders>
            <w:shd w:val="clear" w:color="auto" w:fill="CCECFF"/>
          </w:tcPr>
          <w:p>
            <w:pPr>
              <w:spacing w:after="0"/>
              <w:rPr>
                <w:sz w:val="19"/>
                <w:szCs w:val="19"/>
                <w:color w:val="auto"/>
              </w:rPr>
            </w:pPr>
          </w:p>
        </w:tc>
        <w:tc>
          <w:tcPr>
            <w:tcW w:w="1320" w:type="dxa"/>
            <w:vAlign w:val="bottom"/>
            <w:tcBorders>
              <w:bottom w:val="single" w:sz="8" w:color="CCECFF"/>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277,642</w:t>
            </w:r>
          </w:p>
        </w:tc>
        <w:tc>
          <w:tcPr>
            <w:tcW w:w="400" w:type="dxa"/>
            <w:vAlign w:val="bottom"/>
            <w:tcBorders>
              <w:bottom w:val="single" w:sz="8" w:color="CCECFF"/>
            </w:tcBorders>
            <w:shd w:val="clear" w:color="auto" w:fill="CCECFF"/>
          </w:tcPr>
          <w:p>
            <w:pPr>
              <w:spacing w:after="0"/>
              <w:rPr>
                <w:sz w:val="19"/>
                <w:szCs w:val="19"/>
                <w:color w:val="auto"/>
              </w:rPr>
            </w:pPr>
          </w:p>
        </w:tc>
        <w:tc>
          <w:tcPr>
            <w:tcW w:w="240" w:type="dxa"/>
            <w:vAlign w:val="bottom"/>
            <w:tcBorders>
              <w:bottom w:val="single" w:sz="8" w:color="CCECFF"/>
            </w:tcBorders>
            <w:shd w:val="clear" w:color="auto" w:fill="CCECFF"/>
          </w:tcPr>
          <w:p>
            <w:pPr>
              <w:spacing w:after="0"/>
              <w:rPr>
                <w:sz w:val="19"/>
                <w:szCs w:val="19"/>
                <w:color w:val="auto"/>
              </w:rPr>
            </w:pPr>
          </w:p>
        </w:tc>
        <w:tc>
          <w:tcPr>
            <w:tcW w:w="1320" w:type="dxa"/>
            <w:vAlign w:val="bottom"/>
            <w:tcBorders>
              <w:bottom w:val="single" w:sz="8" w:color="CCECFF"/>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277,107</w:t>
            </w:r>
          </w:p>
        </w:tc>
        <w:tc>
          <w:tcPr>
            <w:tcW w:w="100" w:type="dxa"/>
            <w:vAlign w:val="bottom"/>
            <w:tcBorders>
              <w:bottom w:val="single" w:sz="8" w:color="CCECFF"/>
            </w:tcBorders>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600" w:type="dxa"/>
            <w:vAlign w:val="bottom"/>
          </w:tcPr>
          <w:p>
            <w:pPr>
              <w:ind w:left="200"/>
              <w:spacing w:after="0" w:line="215" w:lineRule="exact"/>
              <w:rPr>
                <w:sz w:val="20"/>
                <w:szCs w:val="20"/>
                <w:color w:val="auto"/>
              </w:rPr>
            </w:pPr>
            <w:r>
              <w:rPr>
                <w:rFonts w:ascii="Calibri" w:cs="Calibri" w:eastAsia="Calibri" w:hAnsi="Calibri"/>
                <w:sz w:val="18"/>
                <w:szCs w:val="18"/>
                <w:color w:val="auto"/>
              </w:rPr>
              <w:t>Retained defcit</w:t>
            </w:r>
          </w:p>
        </w:tc>
        <w:tc>
          <w:tcPr>
            <w:tcW w:w="260" w:type="dxa"/>
            <w:vAlign w:val="bottom"/>
          </w:tcPr>
          <w:p>
            <w:pPr>
              <w:spacing w:after="0"/>
              <w:rPr>
                <w:sz w:val="18"/>
                <w:szCs w:val="18"/>
                <w:color w:val="auto"/>
              </w:rPr>
            </w:pPr>
          </w:p>
        </w:tc>
        <w:tc>
          <w:tcPr>
            <w:tcW w:w="1720" w:type="dxa"/>
            <w:vAlign w:val="bottom"/>
            <w:gridSpan w:val="2"/>
          </w:tcPr>
          <w:p>
            <w:pPr>
              <w:jc w:val="right"/>
              <w:ind w:right="248"/>
              <w:spacing w:after="0" w:line="215" w:lineRule="exact"/>
              <w:rPr>
                <w:sz w:val="20"/>
                <w:szCs w:val="20"/>
                <w:color w:val="auto"/>
              </w:rPr>
            </w:pPr>
            <w:r>
              <w:rPr>
                <w:rFonts w:ascii="Calibri" w:cs="Calibri" w:eastAsia="Calibri" w:hAnsi="Calibri"/>
                <w:sz w:val="18"/>
                <w:szCs w:val="18"/>
                <w:color w:val="auto"/>
              </w:rPr>
              <w:t>(76,988 )</w:t>
            </w:r>
          </w:p>
        </w:tc>
        <w:tc>
          <w:tcPr>
            <w:tcW w:w="240" w:type="dxa"/>
            <w:vAlign w:val="bottom"/>
          </w:tcPr>
          <w:p>
            <w:pPr>
              <w:spacing w:after="0"/>
              <w:rPr>
                <w:sz w:val="18"/>
                <w:szCs w:val="18"/>
                <w:color w:val="auto"/>
              </w:rPr>
            </w:pPr>
          </w:p>
        </w:tc>
        <w:tc>
          <w:tcPr>
            <w:tcW w:w="142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(74,623 )</w:t>
            </w:r>
          </w:p>
        </w:tc>
        <w:tc>
          <w:tcPr>
            <w:tcW w:w="0" w:type="dxa"/>
            <w:vAlign w:val="bottom"/>
          </w:tcPr>
          <w:p>
            <w:pPr>
              <w:spacing w:after="0"/>
              <w:rPr>
                <w:sz w:val="1"/>
                <w:szCs w:val="1"/>
                <w:color w:val="auto"/>
              </w:rPr>
            </w:pPr>
          </w:p>
        </w:tc>
      </w:tr>
      <w:tr>
        <w:trPr>
          <w:trHeight w:val="28"/>
        </w:trPr>
        <w:tc>
          <w:tcPr>
            <w:tcW w:w="7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7600" w:type="dxa"/>
            <w:vAlign w:val="bottom"/>
            <w:shd w:val="clear" w:color="auto" w:fill="CCECFF"/>
          </w:tcPr>
          <w:p>
            <w:pPr>
              <w:ind w:left="200"/>
              <w:spacing w:after="0" w:line="207" w:lineRule="exact"/>
              <w:rPr>
                <w:sz w:val="20"/>
                <w:szCs w:val="20"/>
                <w:color w:val="auto"/>
              </w:rPr>
            </w:pPr>
            <w:r>
              <w:rPr>
                <w:rFonts w:ascii="Calibri" w:cs="Calibri" w:eastAsia="Calibri" w:hAnsi="Calibri"/>
                <w:sz w:val="18"/>
                <w:szCs w:val="18"/>
                <w:color w:val="auto"/>
              </w:rPr>
              <w:t>Treasury stock, at cost (1,945,432 shares on July 31, 2024 and</w:t>
            </w:r>
          </w:p>
        </w:tc>
        <w:tc>
          <w:tcPr>
            <w:tcW w:w="260" w:type="dxa"/>
            <w:vAlign w:val="bottom"/>
            <w:shd w:val="clear" w:color="auto" w:fill="CCECFF"/>
          </w:tcPr>
          <w:p>
            <w:pPr>
              <w:spacing w:after="0"/>
              <w:rPr>
                <w:sz w:val="18"/>
                <w:szCs w:val="18"/>
                <w:color w:val="auto"/>
              </w:rPr>
            </w:pPr>
          </w:p>
        </w:tc>
        <w:tc>
          <w:tcPr>
            <w:tcW w:w="1720" w:type="dxa"/>
            <w:vAlign w:val="bottom"/>
            <w:gridSpan w:val="2"/>
            <w:vMerge w:val="restart"/>
            <w:shd w:val="clear" w:color="auto" w:fill="CCECFF"/>
          </w:tcPr>
          <w:p>
            <w:pPr>
              <w:jc w:val="right"/>
              <w:ind w:right="248"/>
              <w:spacing w:after="0"/>
              <w:rPr>
                <w:sz w:val="20"/>
                <w:szCs w:val="20"/>
                <w:color w:val="auto"/>
              </w:rPr>
            </w:pPr>
            <w:r>
              <w:rPr>
                <w:rFonts w:ascii="Calibri" w:cs="Calibri" w:eastAsia="Calibri" w:hAnsi="Calibri"/>
                <w:sz w:val="18"/>
                <w:szCs w:val="18"/>
                <w:color w:val="auto"/>
              </w:rPr>
              <w:t>(24,955 )</w:t>
            </w:r>
          </w:p>
        </w:tc>
        <w:tc>
          <w:tcPr>
            <w:tcW w:w="240" w:type="dxa"/>
            <w:vAlign w:val="bottom"/>
            <w:shd w:val="clear" w:color="auto" w:fill="CCECFF"/>
          </w:tcPr>
          <w:p>
            <w:pPr>
              <w:spacing w:after="0"/>
              <w:rPr>
                <w:sz w:val="18"/>
                <w:szCs w:val="18"/>
                <w:color w:val="auto"/>
              </w:rPr>
            </w:pPr>
          </w:p>
        </w:tc>
        <w:tc>
          <w:tcPr>
            <w:tcW w:w="1420" w:type="dxa"/>
            <w:vAlign w:val="bottom"/>
            <w:gridSpan w:val="2"/>
            <w:vMerge w:val="restart"/>
            <w:shd w:val="clear" w:color="auto" w:fill="CCECFF"/>
          </w:tcPr>
          <w:p>
            <w:pPr>
              <w:jc w:val="right"/>
              <w:ind w:right="40"/>
              <w:spacing w:after="0"/>
              <w:rPr>
                <w:sz w:val="20"/>
                <w:szCs w:val="20"/>
                <w:color w:val="auto"/>
              </w:rPr>
            </w:pPr>
            <w:r>
              <w:rPr>
                <w:rFonts w:ascii="Calibri" w:cs="Calibri" w:eastAsia="Calibri" w:hAnsi="Calibri"/>
                <w:sz w:val="18"/>
                <w:szCs w:val="18"/>
                <w:color w:val="auto"/>
              </w:rPr>
              <w:t>(24,574 )</w:t>
            </w:r>
          </w:p>
        </w:tc>
        <w:tc>
          <w:tcPr>
            <w:tcW w:w="0" w:type="dxa"/>
            <w:vAlign w:val="bottom"/>
          </w:tcPr>
          <w:p>
            <w:pPr>
              <w:spacing w:after="0"/>
              <w:rPr>
                <w:sz w:val="1"/>
                <w:szCs w:val="1"/>
                <w:color w:val="auto"/>
              </w:rPr>
            </w:pPr>
          </w:p>
        </w:tc>
      </w:tr>
      <w:tr>
        <w:trPr>
          <w:trHeight w:val="238"/>
        </w:trPr>
        <w:tc>
          <w:tcPr>
            <w:tcW w:w="7600" w:type="dxa"/>
            <w:vAlign w:val="bottom"/>
            <w:tcBorders>
              <w:bottom w:val="single" w:sz="8" w:color="CCECFF"/>
            </w:tcBorders>
            <w:shd w:val="clear" w:color="auto" w:fill="CCECFF"/>
          </w:tcPr>
          <w:p>
            <w:pPr>
              <w:ind w:left="320"/>
              <w:spacing w:after="0" w:line="215" w:lineRule="exact"/>
              <w:rPr>
                <w:sz w:val="20"/>
                <w:szCs w:val="20"/>
                <w:color w:val="auto"/>
              </w:rPr>
            </w:pPr>
            <w:r>
              <w:rPr>
                <w:rFonts w:ascii="Calibri" w:cs="Calibri" w:eastAsia="Calibri" w:hAnsi="Calibri"/>
                <w:sz w:val="18"/>
                <w:szCs w:val="18"/>
                <w:color w:val="auto"/>
              </w:rPr>
              <w:t>1,903,415 shares on April 30, 2024)</w:t>
            </w:r>
          </w:p>
        </w:tc>
        <w:tc>
          <w:tcPr>
            <w:tcW w:w="260" w:type="dxa"/>
            <w:vAlign w:val="bottom"/>
            <w:tcBorders>
              <w:bottom w:val="single" w:sz="8" w:color="CCECFF"/>
            </w:tcBorders>
            <w:shd w:val="clear" w:color="auto" w:fill="CCECFF"/>
          </w:tcPr>
          <w:p>
            <w:pPr>
              <w:spacing w:after="0"/>
              <w:rPr>
                <w:sz w:val="20"/>
                <w:szCs w:val="20"/>
                <w:color w:val="auto"/>
              </w:rPr>
            </w:pPr>
          </w:p>
        </w:tc>
        <w:tc>
          <w:tcPr>
            <w:tcW w:w="1720" w:type="dxa"/>
            <w:vAlign w:val="bottom"/>
            <w:tcBorders>
              <w:bottom w:val="single" w:sz="8" w:color="CCECFF"/>
            </w:tcBorders>
            <w:gridSpan w:val="2"/>
            <w:vMerge w:val="continue"/>
            <w:shd w:val="clear" w:color="auto" w:fill="CCECFF"/>
          </w:tcPr>
          <w:p>
            <w:pPr>
              <w:spacing w:after="0"/>
              <w:rPr>
                <w:sz w:val="20"/>
                <w:szCs w:val="20"/>
                <w:color w:val="auto"/>
              </w:rPr>
            </w:pPr>
          </w:p>
        </w:tc>
        <w:tc>
          <w:tcPr>
            <w:tcW w:w="240" w:type="dxa"/>
            <w:vAlign w:val="bottom"/>
            <w:tcBorders>
              <w:bottom w:val="single" w:sz="8" w:color="CCECFF"/>
            </w:tcBorders>
            <w:shd w:val="clear" w:color="auto" w:fill="CCECFF"/>
          </w:tcPr>
          <w:p>
            <w:pPr>
              <w:spacing w:after="0"/>
              <w:rPr>
                <w:sz w:val="20"/>
                <w:szCs w:val="20"/>
                <w:color w:val="auto"/>
              </w:rPr>
            </w:pPr>
          </w:p>
        </w:tc>
        <w:tc>
          <w:tcPr>
            <w:tcW w:w="1420" w:type="dxa"/>
            <w:vAlign w:val="bottom"/>
            <w:tcBorders>
              <w:bottom w:val="single" w:sz="8" w:color="CCECFF"/>
            </w:tcBorders>
            <w:gridSpan w:val="2"/>
            <w:vMerge w:val="continue"/>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7600" w:type="dxa"/>
            <w:vAlign w:val="bottom"/>
            <w:tcBorders>
              <w:top w:val="single" w:sz="8" w:color="CCECFF"/>
            </w:tcBorders>
          </w:tcPr>
          <w:p>
            <w:pPr>
              <w:ind w:left="440"/>
              <w:spacing w:after="0" w:line="213" w:lineRule="exact"/>
              <w:rPr>
                <w:sz w:val="20"/>
                <w:szCs w:val="20"/>
                <w:color w:val="auto"/>
              </w:rPr>
            </w:pPr>
            <w:r>
              <w:rPr>
                <w:rFonts w:ascii="Calibri" w:cs="Calibri" w:eastAsia="Calibri" w:hAnsi="Calibri"/>
                <w:sz w:val="18"/>
                <w:szCs w:val="18"/>
                <w:color w:val="auto"/>
              </w:rPr>
              <w:t>Total equity</w:t>
            </w:r>
          </w:p>
        </w:tc>
        <w:tc>
          <w:tcPr>
            <w:tcW w:w="2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line="213" w:lineRule="exact"/>
              <w:rPr>
                <w:sz w:val="20"/>
                <w:szCs w:val="20"/>
                <w:color w:val="auto"/>
              </w:rPr>
            </w:pPr>
            <w:r>
              <w:rPr>
                <w:rFonts w:ascii="Calibri" w:cs="Calibri" w:eastAsia="Calibri" w:hAnsi="Calibri"/>
                <w:sz w:val="18"/>
                <w:szCs w:val="18"/>
                <w:color w:val="auto"/>
              </w:rPr>
              <w:t>175,714</w:t>
            </w:r>
          </w:p>
        </w:tc>
        <w:tc>
          <w:tcPr>
            <w:tcW w:w="400" w:type="dxa"/>
            <w:vAlign w:val="bottom"/>
            <w:tcBorders>
              <w:top w:val="single" w:sz="8" w:color="CCEC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line="213" w:lineRule="exact"/>
              <w:rPr>
                <w:sz w:val="20"/>
                <w:szCs w:val="20"/>
                <w:color w:val="auto"/>
              </w:rPr>
            </w:pPr>
            <w:r>
              <w:rPr>
                <w:rFonts w:ascii="Calibri" w:cs="Calibri" w:eastAsia="Calibri" w:hAnsi="Calibri"/>
                <w:sz w:val="18"/>
                <w:szCs w:val="18"/>
                <w:color w:val="auto"/>
              </w:rPr>
              <w:t>177,925</w:t>
            </w:r>
          </w:p>
        </w:tc>
        <w:tc>
          <w:tcPr>
            <w:tcW w:w="100" w:type="dxa"/>
            <w:vAlign w:val="bottom"/>
            <w:tcBorders>
              <w:top w:val="single" w:sz="8" w:color="CCECFF"/>
            </w:tcBorders>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76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7600" w:type="dxa"/>
            <w:vAlign w:val="bottom"/>
            <w:tcBorders>
              <w:bottom w:val="single" w:sz="8" w:color="CCECFF"/>
            </w:tcBorders>
            <w:shd w:val="clear" w:color="auto" w:fill="CCECFF"/>
          </w:tcPr>
          <w:p>
            <w:pPr>
              <w:ind w:left="440"/>
              <w:spacing w:after="0"/>
              <w:rPr>
                <w:sz w:val="20"/>
                <w:szCs w:val="20"/>
                <w:color w:val="auto"/>
              </w:rPr>
            </w:pPr>
            <w:r>
              <w:rPr>
                <w:rFonts w:ascii="Calibri" w:cs="Calibri" w:eastAsia="Calibri" w:hAnsi="Calibri"/>
                <w:sz w:val="18"/>
                <w:szCs w:val="18"/>
                <w:color w:val="auto"/>
              </w:rPr>
              <w:t>Total liabilites and equity</w:t>
            </w:r>
          </w:p>
        </w:tc>
        <w:tc>
          <w:tcPr>
            <w:tcW w:w="260" w:type="dxa"/>
            <w:vAlign w:val="bottom"/>
            <w:tcBorders>
              <w:bottom w:val="single" w:sz="8" w:color="auto"/>
            </w:tcBorders>
            <w:shd w:val="clear" w:color="auto" w:fill="CCECFF"/>
          </w:tcPr>
          <w:p>
            <w:pPr>
              <w:jc w:val="right"/>
              <w:ind w:right="50"/>
              <w:spacing w:after="0" w:line="215" w:lineRule="exact"/>
              <w:rPr>
                <w:sz w:val="20"/>
                <w:szCs w:val="20"/>
                <w:color w:val="auto"/>
              </w:rPr>
            </w:pPr>
            <w:r>
              <w:rPr>
                <w:rFonts w:ascii="Calibri" w:cs="Calibri" w:eastAsia="Calibri" w:hAnsi="Calibri"/>
                <w:sz w:val="18"/>
                <w:szCs w:val="18"/>
                <w:color w:val="auto"/>
              </w:rPr>
              <w:t>$</w:t>
            </w:r>
          </w:p>
        </w:tc>
        <w:tc>
          <w:tcPr>
            <w:tcW w:w="1320" w:type="dxa"/>
            <w:vAlign w:val="bottom"/>
            <w:tcBorders>
              <w:bottom w:val="single" w:sz="8" w:color="auto"/>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244,790</w:t>
            </w:r>
          </w:p>
        </w:tc>
        <w:tc>
          <w:tcPr>
            <w:tcW w:w="400" w:type="dxa"/>
            <w:vAlign w:val="bottom"/>
            <w:tcBorders>
              <w:bottom w:val="single" w:sz="8" w:color="CCECFF"/>
            </w:tcBorders>
            <w:shd w:val="clear" w:color="auto" w:fill="CCECFF"/>
          </w:tcPr>
          <w:p>
            <w:pPr>
              <w:spacing w:after="0"/>
              <w:rPr>
                <w:sz w:val="24"/>
                <w:szCs w:val="24"/>
                <w:color w:val="auto"/>
              </w:rPr>
            </w:pPr>
          </w:p>
        </w:tc>
        <w:tc>
          <w:tcPr>
            <w:tcW w:w="240" w:type="dxa"/>
            <w:vAlign w:val="bottom"/>
            <w:tcBorders>
              <w:bottom w:val="single" w:sz="8" w:color="auto"/>
            </w:tcBorders>
            <w:shd w:val="clear" w:color="auto" w:fill="CCECFF"/>
          </w:tcPr>
          <w:p>
            <w:pPr>
              <w:jc w:val="right"/>
              <w:ind w:right="50"/>
              <w:spacing w:after="0" w:line="215" w:lineRule="exact"/>
              <w:rPr>
                <w:sz w:val="20"/>
                <w:szCs w:val="20"/>
                <w:color w:val="auto"/>
              </w:rPr>
            </w:pPr>
            <w:r>
              <w:rPr>
                <w:rFonts w:ascii="Calibri" w:cs="Calibri" w:eastAsia="Calibri" w:hAnsi="Calibri"/>
                <w:sz w:val="18"/>
                <w:szCs w:val="18"/>
                <w:color w:val="auto"/>
                <w:w w:val="87"/>
              </w:rPr>
              <w:t>$</w:t>
            </w:r>
          </w:p>
        </w:tc>
        <w:tc>
          <w:tcPr>
            <w:tcW w:w="1320" w:type="dxa"/>
            <w:vAlign w:val="bottom"/>
            <w:tcBorders>
              <w:bottom w:val="single" w:sz="8" w:color="auto"/>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240,597</w:t>
            </w:r>
          </w:p>
        </w:tc>
        <w:tc>
          <w:tcPr>
            <w:tcW w:w="100" w:type="dxa"/>
            <w:vAlign w:val="bottom"/>
            <w:tcBorders>
              <w:bottom w:val="single" w:sz="8" w:color="CCECFF"/>
            </w:tcBorders>
            <w:shd w:val="clear" w:color="auto" w:fill="CCECFF"/>
          </w:tcPr>
          <w:p>
            <w:pPr>
              <w:spacing w:after="0"/>
              <w:rPr>
                <w:sz w:val="24"/>
                <w:szCs w:val="24"/>
                <w:color w:val="auto"/>
              </w:rPr>
            </w:pPr>
          </w:p>
        </w:tc>
        <w:tc>
          <w:tcPr>
            <w:tcW w:w="0" w:type="dxa"/>
            <w:vAlign w:val="bottom"/>
          </w:tcPr>
          <w:p>
            <w:pPr>
              <w:spacing w:after="0"/>
              <w:rPr>
                <w:sz w:val="1"/>
                <w:szCs w:val="1"/>
                <w:color w:val="auto"/>
              </w:rPr>
            </w:pPr>
          </w:p>
        </w:tc>
      </w:tr>
      <w:tr>
        <w:trPr>
          <w:trHeight w:val="1472"/>
        </w:trPr>
        <w:tc>
          <w:tcPr>
            <w:tcW w:w="76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-5322570</wp:posOffset>
            </wp:positionV>
            <wp:extent cx="7747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-5322570</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-4371340</wp:posOffset>
            </wp:positionV>
            <wp:extent cx="7747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-4354195</wp:posOffset>
            </wp:positionV>
            <wp:extent cx="774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-4371340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-4354195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5821680</wp:posOffset>
            </wp:positionH>
            <wp:positionV relativeFrom="paragraph">
              <wp:posOffset>-3115310</wp:posOffset>
            </wp:positionV>
            <wp:extent cx="102870" cy="1968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02870" cy="1968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-3115310</wp:posOffset>
            </wp:positionV>
            <wp:extent cx="93980" cy="1968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-1310640</wp:posOffset>
            </wp:positionV>
            <wp:extent cx="774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-1310640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-984885</wp:posOffset>
            </wp:positionV>
            <wp:extent cx="7747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-967740</wp:posOffset>
            </wp:positionV>
            <wp:extent cx="7747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-984885</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-967740</wp:posOffset>
            </wp:positionV>
            <wp:extent cx="685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8" w:name="page9"/>
    <w:bookmarkEnd w:id="8"/>
    <w:p>
      <w:pPr>
        <w:jc w:val="right"/>
        <w:ind w:right="20"/>
        <w:spacing w:after="0"/>
        <w:rPr>
          <w:sz w:val="20"/>
          <w:szCs w:val="20"/>
          <w:color w:val="auto"/>
        </w:rPr>
      </w:pPr>
      <w:r>
        <w:rPr>
          <w:rFonts w:ascii="Calibri" w:cs="Calibri" w:eastAsia="Calibri" w:hAnsi="Calibri"/>
          <w:sz w:val="20"/>
          <w:szCs w:val="20"/>
          <w:color w:val="auto"/>
        </w:rPr>
        <w:t>1800 N Route 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-132715</wp:posOffset>
            </wp:positionV>
            <wp:extent cx="3145790" cy="5143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145790" cy="514350"/>
                    </a:xfrm>
                    <a:prstGeom prst="rect">
                      <a:avLst/>
                    </a:prstGeom>
                    <a:noFill/>
                  </pic:spPr>
                </pic:pic>
              </a:graphicData>
            </a:graphic>
          </wp:anchor>
        </w:drawing>
      </w:r>
    </w:p>
    <w:p>
      <w:pPr>
        <w:jc w:val="right"/>
        <w:ind w:right="20"/>
        <w:spacing w:after="0"/>
        <w:rPr>
          <w:sz w:val="20"/>
          <w:szCs w:val="20"/>
          <w:color w:val="auto"/>
        </w:rPr>
      </w:pPr>
      <w:r>
        <w:rPr>
          <w:rFonts w:ascii="Calibri" w:cs="Calibri" w:eastAsia="Calibri" w:hAnsi="Calibri"/>
          <w:sz w:val="20"/>
          <w:szCs w:val="20"/>
          <w:color w:val="auto"/>
        </w:rPr>
        <w:t>Columbia, MO 65202</w:t>
      </w:r>
    </w:p>
    <w:p>
      <w:pPr>
        <w:spacing w:after="0" w:line="12" w:lineRule="exact"/>
        <w:rPr>
          <w:sz w:val="20"/>
          <w:szCs w:val="20"/>
          <w:color w:val="auto"/>
        </w:rPr>
      </w:pPr>
    </w:p>
    <w:p>
      <w:pPr>
        <w:jc w:val="right"/>
        <w:ind w:right="20"/>
        <w:spacing w:after="0"/>
        <w:rPr>
          <w:sz w:val="20"/>
          <w:szCs w:val="20"/>
          <w:color w:val="auto"/>
        </w:rPr>
      </w:pPr>
      <w:r>
        <w:rPr>
          <w:rFonts w:ascii="Calibri" w:cs="Calibri" w:eastAsia="Calibri" w:hAnsi="Calibri"/>
          <w:sz w:val="20"/>
          <w:szCs w:val="20"/>
          <w:color w:val="auto"/>
        </w:rPr>
        <w:t>(800) 338-9585</w:t>
      </w:r>
    </w:p>
    <w:p>
      <w:pPr>
        <w:spacing w:after="0" w:line="12" w:lineRule="exact"/>
        <w:rPr>
          <w:sz w:val="20"/>
          <w:szCs w:val="20"/>
          <w:color w:val="auto"/>
        </w:rPr>
      </w:pPr>
    </w:p>
    <w:p>
      <w:pPr>
        <w:jc w:val="right"/>
        <w:ind w:right="20"/>
        <w:spacing w:after="0"/>
        <w:rPr>
          <w:sz w:val="20"/>
          <w:szCs w:val="20"/>
          <w:color w:val="auto"/>
        </w:rPr>
      </w:pPr>
      <w:r>
        <w:rPr>
          <w:rFonts w:ascii="Calibri" w:cs="Calibri" w:eastAsia="Calibri" w:hAnsi="Calibri"/>
          <w:sz w:val="20"/>
          <w:szCs w:val="20"/>
          <w:color w:val="auto"/>
        </w:rPr>
        <w:t>NASDAQ: AOUT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b w:val="1"/>
          <w:bCs w:val="1"/>
          <w:color w:val="auto"/>
        </w:rPr>
        <w:t>AMERICAN OUTDOOR BRANDS, INC. AND SUBSIDIARIES</w:t>
      </w:r>
    </w:p>
    <w:p>
      <w:pPr>
        <w:spacing w:after="0" w:line="23"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b w:val="1"/>
          <w:bCs w:val="1"/>
          <w:color w:val="auto"/>
        </w:rPr>
        <w:t>CONSOLIDATED STATEMENTS OF OPERATIONS</w:t>
      </w:r>
    </w:p>
    <w:p>
      <w:pPr>
        <w:spacing w:after="0" w:line="23"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(In thousands, except per share data)</w:t>
      </w: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20" w:type="dxa"/>
            <w:vAlign w:val="bottom"/>
          </w:tcPr>
          <w:p>
            <w:pPr>
              <w:spacing w:after="0"/>
              <w:rPr>
                <w:sz w:val="14"/>
                <w:szCs w:val="14"/>
                <w:color w:val="auto"/>
              </w:rPr>
            </w:pPr>
          </w:p>
        </w:tc>
        <w:tc>
          <w:tcPr>
            <w:tcW w:w="3540" w:type="dxa"/>
            <w:vAlign w:val="bottom"/>
            <w:gridSpan w:val="4"/>
          </w:tcPr>
          <w:p>
            <w:pPr>
              <w:jc w:val="right"/>
              <w:ind w:right="274"/>
              <w:spacing w:after="0"/>
              <w:rPr>
                <w:sz w:val="20"/>
                <w:szCs w:val="20"/>
                <w:color w:val="auto"/>
              </w:rPr>
            </w:pPr>
            <w:r>
              <w:rPr>
                <w:rFonts w:ascii="Calibri" w:cs="Calibri" w:eastAsia="Calibri" w:hAnsi="Calibri"/>
                <w:sz w:val="14"/>
                <w:szCs w:val="14"/>
                <w:b w:val="1"/>
                <w:bCs w:val="1"/>
                <w:color w:val="auto"/>
              </w:rPr>
              <w:t>For the Three Months Ended July 31,</w:t>
            </w: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33"/>
        </w:trPr>
        <w:tc>
          <w:tcPr>
            <w:tcW w:w="67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r>
      <w:tr>
        <w:trPr>
          <w:trHeight w:val="176"/>
        </w:trPr>
        <w:tc>
          <w:tcPr>
            <w:tcW w:w="6720" w:type="dxa"/>
            <w:vAlign w:val="bottom"/>
          </w:tcPr>
          <w:p>
            <w:pPr>
              <w:spacing w:after="0"/>
              <w:rPr>
                <w:sz w:val="15"/>
                <w:szCs w:val="15"/>
                <w:color w:val="auto"/>
              </w:rPr>
            </w:pPr>
          </w:p>
        </w:tc>
        <w:tc>
          <w:tcPr>
            <w:tcW w:w="1280" w:type="dxa"/>
            <w:vAlign w:val="bottom"/>
          </w:tcPr>
          <w:p>
            <w:pPr>
              <w:jc w:val="right"/>
              <w:ind w:right="76"/>
              <w:spacing w:after="0"/>
              <w:rPr>
                <w:sz w:val="20"/>
                <w:szCs w:val="20"/>
                <w:color w:val="auto"/>
              </w:rPr>
            </w:pPr>
            <w:r>
              <w:rPr>
                <w:rFonts w:ascii="Calibri" w:cs="Calibri" w:eastAsia="Calibri" w:hAnsi="Calibri"/>
                <w:sz w:val="14"/>
                <w:szCs w:val="14"/>
                <w:b w:val="1"/>
                <w:bCs w:val="1"/>
                <w:color w:val="auto"/>
              </w:rPr>
              <w:t>2024</w:t>
            </w:r>
          </w:p>
        </w:tc>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tcPr>
          <w:p>
            <w:pPr>
              <w:jc w:val="right"/>
              <w:ind w:right="74"/>
              <w:spacing w:after="0"/>
              <w:rPr>
                <w:sz w:val="20"/>
                <w:szCs w:val="20"/>
                <w:color w:val="auto"/>
              </w:rPr>
            </w:pPr>
            <w:r>
              <w:rPr>
                <w:rFonts w:ascii="Calibri" w:cs="Calibri" w:eastAsia="Calibri" w:hAnsi="Calibri"/>
                <w:sz w:val="14"/>
                <w:szCs w:val="14"/>
                <w:b w:val="1"/>
                <w:bCs w:val="1"/>
                <w:color w:val="auto"/>
              </w:rPr>
              <w:t>2023</w:t>
            </w: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47"/>
        </w:trPr>
        <w:tc>
          <w:tcPr>
            <w:tcW w:w="6720" w:type="dxa"/>
            <w:vAlign w:val="bottom"/>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320" w:type="dxa"/>
            <w:vAlign w:val="bottom"/>
          </w:tcPr>
          <w:p>
            <w:pPr>
              <w:spacing w:after="0"/>
              <w:rPr>
                <w:sz w:val="4"/>
                <w:szCs w:val="4"/>
                <w:color w:val="auto"/>
              </w:rPr>
            </w:pPr>
          </w:p>
        </w:tc>
      </w:tr>
      <w:tr>
        <w:trPr>
          <w:trHeight w:val="203"/>
        </w:trPr>
        <w:tc>
          <w:tcPr>
            <w:tcW w:w="67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60" w:type="dxa"/>
            <w:vAlign w:val="bottom"/>
            <w:gridSpan w:val="3"/>
          </w:tcPr>
          <w:p>
            <w:pPr>
              <w:jc w:val="right"/>
              <w:ind w:right="834"/>
              <w:spacing w:after="0"/>
              <w:rPr>
                <w:sz w:val="20"/>
                <w:szCs w:val="20"/>
                <w:color w:val="auto"/>
              </w:rPr>
            </w:pPr>
            <w:r>
              <w:rPr>
                <w:rFonts w:ascii="Calibri" w:cs="Calibri" w:eastAsia="Calibri" w:hAnsi="Calibri"/>
                <w:sz w:val="14"/>
                <w:szCs w:val="14"/>
                <w:b w:val="1"/>
                <w:bCs w:val="1"/>
                <w:color w:val="auto"/>
              </w:rPr>
              <w:t>(Unaudited)</w:t>
            </w: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33"/>
        </w:trPr>
        <w:tc>
          <w:tcPr>
            <w:tcW w:w="67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23"/>
        </w:trPr>
        <w:tc>
          <w:tcPr>
            <w:tcW w:w="6720" w:type="dxa"/>
            <w:vAlign w:val="bottom"/>
            <w:tcBorders>
              <w:bottom w:val="single" w:sz="8" w:color="CCECFF"/>
            </w:tcBorders>
            <w:shd w:val="clear" w:color="auto" w:fill="CCECFF"/>
          </w:tcPr>
          <w:p>
            <w:pPr>
              <w:ind w:left="20"/>
              <w:spacing w:after="0" w:line="215" w:lineRule="exact"/>
              <w:rPr>
                <w:sz w:val="20"/>
                <w:szCs w:val="20"/>
                <w:color w:val="auto"/>
              </w:rPr>
            </w:pPr>
            <w:r>
              <w:rPr>
                <w:rFonts w:ascii="Calibri" w:cs="Calibri" w:eastAsia="Calibri" w:hAnsi="Calibri"/>
                <w:sz w:val="18"/>
                <w:szCs w:val="18"/>
                <w:color w:val="auto"/>
              </w:rPr>
              <w:t>Net sales</w:t>
            </w:r>
          </w:p>
        </w:tc>
        <w:tc>
          <w:tcPr>
            <w:tcW w:w="1280" w:type="dxa"/>
            <w:vAlign w:val="bottom"/>
            <w:tcBorders>
              <w:bottom w:val="single" w:sz="8" w:color="CCECFF"/>
            </w:tcBorders>
            <w:shd w:val="clear" w:color="auto" w:fill="CCECFF"/>
          </w:tcPr>
          <w:p>
            <w:pPr>
              <w:jc w:val="right"/>
              <w:ind w:right="1096"/>
              <w:spacing w:after="0" w:line="215" w:lineRule="exact"/>
              <w:rPr>
                <w:sz w:val="20"/>
                <w:szCs w:val="20"/>
                <w:color w:val="auto"/>
              </w:rPr>
            </w:pPr>
            <w:r>
              <w:rPr>
                <w:rFonts w:ascii="Calibri" w:cs="Calibri" w:eastAsia="Calibri" w:hAnsi="Calibri"/>
                <w:sz w:val="18"/>
                <w:szCs w:val="18"/>
                <w:color w:val="auto"/>
                <w:w w:val="87"/>
              </w:rPr>
              <w:t>$</w:t>
            </w:r>
          </w:p>
        </w:tc>
        <w:tc>
          <w:tcPr>
            <w:tcW w:w="680" w:type="dxa"/>
            <w:vAlign w:val="bottom"/>
            <w:tcBorders>
              <w:bottom w:val="single" w:sz="8" w:color="CCECFF"/>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41,643</w:t>
            </w:r>
          </w:p>
        </w:tc>
        <w:tc>
          <w:tcPr>
            <w:tcW w:w="300" w:type="dxa"/>
            <w:vAlign w:val="bottom"/>
            <w:tcBorders>
              <w:bottom w:val="single" w:sz="8" w:color="CCECFF"/>
            </w:tcBorders>
            <w:shd w:val="clear" w:color="auto" w:fill="CCECFF"/>
          </w:tcPr>
          <w:p>
            <w:pPr>
              <w:spacing w:after="0"/>
              <w:rPr>
                <w:sz w:val="19"/>
                <w:szCs w:val="19"/>
                <w:color w:val="auto"/>
              </w:rPr>
            </w:pPr>
          </w:p>
        </w:tc>
        <w:tc>
          <w:tcPr>
            <w:tcW w:w="1280" w:type="dxa"/>
            <w:vAlign w:val="bottom"/>
            <w:tcBorders>
              <w:bottom w:val="single" w:sz="8" w:color="CCECFF"/>
            </w:tcBorders>
            <w:shd w:val="clear" w:color="auto" w:fill="CCECFF"/>
          </w:tcPr>
          <w:p>
            <w:pPr>
              <w:jc w:val="right"/>
              <w:ind w:right="1074"/>
              <w:spacing w:after="0" w:line="215" w:lineRule="exact"/>
              <w:rPr>
                <w:sz w:val="20"/>
                <w:szCs w:val="20"/>
                <w:color w:val="auto"/>
              </w:rPr>
            </w:pPr>
            <w:r>
              <w:rPr>
                <w:rFonts w:ascii="Calibri" w:cs="Calibri" w:eastAsia="Calibri" w:hAnsi="Calibri"/>
                <w:sz w:val="18"/>
                <w:szCs w:val="18"/>
                <w:color w:val="auto"/>
              </w:rPr>
              <w:t>$</w:t>
            </w:r>
          </w:p>
        </w:tc>
        <w:tc>
          <w:tcPr>
            <w:tcW w:w="660" w:type="dxa"/>
            <w:vAlign w:val="bottom"/>
            <w:tcBorders>
              <w:bottom w:val="single" w:sz="8" w:color="CCECFF"/>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43,445</w:t>
            </w:r>
          </w:p>
        </w:tc>
        <w:tc>
          <w:tcPr>
            <w:tcW w:w="320" w:type="dxa"/>
            <w:vAlign w:val="bottom"/>
            <w:tcBorders>
              <w:bottom w:val="single" w:sz="8" w:color="CCECFF"/>
            </w:tcBorders>
            <w:shd w:val="clear" w:color="auto" w:fill="CCECFF"/>
          </w:tcPr>
          <w:p>
            <w:pPr>
              <w:spacing w:after="0"/>
              <w:rPr>
                <w:sz w:val="19"/>
                <w:szCs w:val="19"/>
                <w:color w:val="auto"/>
              </w:rPr>
            </w:pPr>
          </w:p>
        </w:tc>
      </w:tr>
      <w:tr>
        <w:trPr>
          <w:trHeight w:val="215"/>
        </w:trPr>
        <w:tc>
          <w:tcPr>
            <w:tcW w:w="6720" w:type="dxa"/>
            <w:vAlign w:val="bottom"/>
          </w:tcPr>
          <w:p>
            <w:pPr>
              <w:ind w:left="20"/>
              <w:spacing w:after="0" w:line="215" w:lineRule="exact"/>
              <w:rPr>
                <w:sz w:val="20"/>
                <w:szCs w:val="20"/>
                <w:color w:val="auto"/>
              </w:rPr>
            </w:pPr>
            <w:r>
              <w:rPr>
                <w:rFonts w:ascii="Calibri" w:cs="Calibri" w:eastAsia="Calibri" w:hAnsi="Calibri"/>
                <w:sz w:val="18"/>
                <w:szCs w:val="18"/>
                <w:color w:val="auto"/>
              </w:rPr>
              <w:t>Cost of sales</w:t>
            </w:r>
          </w:p>
        </w:tc>
        <w:tc>
          <w:tcPr>
            <w:tcW w:w="1280" w:type="dxa"/>
            <w:vAlign w:val="bottom"/>
          </w:tcPr>
          <w:p>
            <w:pPr>
              <w:spacing w:after="0"/>
              <w:rPr>
                <w:sz w:val="18"/>
                <w:szCs w:val="18"/>
                <w:color w:val="auto"/>
              </w:rPr>
            </w:pPr>
          </w:p>
        </w:tc>
        <w:tc>
          <w:tcPr>
            <w:tcW w:w="680" w:type="dxa"/>
            <w:vAlign w:val="bottom"/>
          </w:tcPr>
          <w:p>
            <w:pPr>
              <w:jc w:val="right"/>
              <w:spacing w:after="0" w:line="215" w:lineRule="exact"/>
              <w:rPr>
                <w:sz w:val="20"/>
                <w:szCs w:val="20"/>
                <w:color w:val="auto"/>
              </w:rPr>
            </w:pPr>
            <w:r>
              <w:rPr>
                <w:rFonts w:ascii="Calibri" w:cs="Calibri" w:eastAsia="Calibri" w:hAnsi="Calibri"/>
                <w:sz w:val="18"/>
                <w:szCs w:val="18"/>
                <w:color w:val="auto"/>
              </w:rPr>
              <w:t>22,717</w:t>
            </w: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60" w:type="dxa"/>
            <w:vAlign w:val="bottom"/>
          </w:tcPr>
          <w:p>
            <w:pPr>
              <w:jc w:val="right"/>
              <w:spacing w:after="0" w:line="215" w:lineRule="exact"/>
              <w:rPr>
                <w:sz w:val="20"/>
                <w:szCs w:val="20"/>
                <w:color w:val="auto"/>
              </w:rPr>
            </w:pPr>
            <w:r>
              <w:rPr>
                <w:rFonts w:ascii="Calibri" w:cs="Calibri" w:eastAsia="Calibri" w:hAnsi="Calibri"/>
                <w:sz w:val="18"/>
                <w:szCs w:val="18"/>
                <w:color w:val="auto"/>
              </w:rPr>
              <w:t>23,726</w:t>
            </w:r>
          </w:p>
        </w:tc>
        <w:tc>
          <w:tcPr>
            <w:tcW w:w="320" w:type="dxa"/>
            <w:vAlign w:val="bottom"/>
          </w:tcPr>
          <w:p>
            <w:pPr>
              <w:spacing w:after="0"/>
              <w:rPr>
                <w:sz w:val="18"/>
                <w:szCs w:val="18"/>
                <w:color w:val="auto"/>
              </w:rPr>
            </w:pPr>
          </w:p>
        </w:tc>
      </w:tr>
      <w:tr>
        <w:trPr>
          <w:trHeight w:val="28"/>
        </w:trPr>
        <w:tc>
          <w:tcPr>
            <w:tcW w:w="67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r>
      <w:tr>
        <w:trPr>
          <w:trHeight w:val="241"/>
        </w:trPr>
        <w:tc>
          <w:tcPr>
            <w:tcW w:w="6720" w:type="dxa"/>
            <w:vAlign w:val="bottom"/>
            <w:tcBorders>
              <w:bottom w:val="single" w:sz="8" w:color="CCECFF"/>
            </w:tcBorders>
            <w:shd w:val="clear" w:color="auto" w:fill="CCECFF"/>
          </w:tcPr>
          <w:p>
            <w:pPr>
              <w:ind w:left="20"/>
              <w:spacing w:after="0" w:line="208" w:lineRule="exact"/>
              <w:rPr>
                <w:sz w:val="20"/>
                <w:szCs w:val="20"/>
                <w:color w:val="auto"/>
              </w:rPr>
            </w:pPr>
            <w:r>
              <w:rPr>
                <w:rFonts w:ascii="Calibri" w:cs="Calibri" w:eastAsia="Calibri" w:hAnsi="Calibri"/>
                <w:sz w:val="18"/>
                <w:szCs w:val="18"/>
                <w:color w:val="auto"/>
              </w:rPr>
              <w:t>Gross proft</w:t>
            </w:r>
          </w:p>
        </w:tc>
        <w:tc>
          <w:tcPr>
            <w:tcW w:w="1280" w:type="dxa"/>
            <w:vAlign w:val="bottom"/>
            <w:tcBorders>
              <w:bottom w:val="single" w:sz="8" w:color="CCECFF"/>
            </w:tcBorders>
            <w:shd w:val="clear" w:color="auto" w:fill="CCECFF"/>
          </w:tcPr>
          <w:p>
            <w:pPr>
              <w:spacing w:after="0"/>
              <w:rPr>
                <w:sz w:val="20"/>
                <w:szCs w:val="20"/>
                <w:color w:val="auto"/>
              </w:rPr>
            </w:pPr>
          </w:p>
        </w:tc>
        <w:tc>
          <w:tcPr>
            <w:tcW w:w="680" w:type="dxa"/>
            <w:vAlign w:val="bottom"/>
            <w:tcBorders>
              <w:bottom w:val="single" w:sz="8" w:color="CCECFF"/>
            </w:tcBorders>
            <w:shd w:val="clear" w:color="auto" w:fill="CCECFF"/>
          </w:tcPr>
          <w:p>
            <w:pPr>
              <w:jc w:val="right"/>
              <w:spacing w:after="0" w:line="208" w:lineRule="exact"/>
              <w:rPr>
                <w:sz w:val="20"/>
                <w:szCs w:val="20"/>
                <w:color w:val="auto"/>
              </w:rPr>
            </w:pPr>
            <w:r>
              <w:rPr>
                <w:rFonts w:ascii="Calibri" w:cs="Calibri" w:eastAsia="Calibri" w:hAnsi="Calibri"/>
                <w:sz w:val="18"/>
                <w:szCs w:val="18"/>
                <w:color w:val="auto"/>
              </w:rPr>
              <w:t>18,926</w:t>
            </w:r>
          </w:p>
        </w:tc>
        <w:tc>
          <w:tcPr>
            <w:tcW w:w="300" w:type="dxa"/>
            <w:vAlign w:val="bottom"/>
            <w:tcBorders>
              <w:bottom w:val="single" w:sz="8" w:color="CCECFF"/>
            </w:tcBorders>
            <w:shd w:val="clear" w:color="auto" w:fill="CCECFF"/>
          </w:tcPr>
          <w:p>
            <w:pPr>
              <w:spacing w:after="0"/>
              <w:rPr>
                <w:sz w:val="20"/>
                <w:szCs w:val="20"/>
                <w:color w:val="auto"/>
              </w:rPr>
            </w:pPr>
          </w:p>
        </w:tc>
        <w:tc>
          <w:tcPr>
            <w:tcW w:w="1280" w:type="dxa"/>
            <w:vAlign w:val="bottom"/>
            <w:tcBorders>
              <w:bottom w:val="single" w:sz="8" w:color="CCECFF"/>
            </w:tcBorders>
            <w:shd w:val="clear" w:color="auto" w:fill="CCECFF"/>
          </w:tcPr>
          <w:p>
            <w:pPr>
              <w:spacing w:after="0"/>
              <w:rPr>
                <w:sz w:val="20"/>
                <w:szCs w:val="20"/>
                <w:color w:val="auto"/>
              </w:rPr>
            </w:pPr>
          </w:p>
        </w:tc>
        <w:tc>
          <w:tcPr>
            <w:tcW w:w="660" w:type="dxa"/>
            <w:vAlign w:val="bottom"/>
            <w:tcBorders>
              <w:bottom w:val="single" w:sz="8" w:color="CCECFF"/>
            </w:tcBorders>
            <w:shd w:val="clear" w:color="auto" w:fill="CCECFF"/>
          </w:tcPr>
          <w:p>
            <w:pPr>
              <w:jc w:val="right"/>
              <w:spacing w:after="0" w:line="208" w:lineRule="exact"/>
              <w:rPr>
                <w:sz w:val="20"/>
                <w:szCs w:val="20"/>
                <w:color w:val="auto"/>
              </w:rPr>
            </w:pPr>
            <w:r>
              <w:rPr>
                <w:rFonts w:ascii="Calibri" w:cs="Calibri" w:eastAsia="Calibri" w:hAnsi="Calibri"/>
                <w:sz w:val="18"/>
                <w:szCs w:val="18"/>
                <w:color w:val="auto"/>
              </w:rPr>
              <w:t>19,719</w:t>
            </w:r>
          </w:p>
        </w:tc>
        <w:tc>
          <w:tcPr>
            <w:tcW w:w="320" w:type="dxa"/>
            <w:vAlign w:val="bottom"/>
            <w:tcBorders>
              <w:bottom w:val="single" w:sz="8" w:color="CCECFF"/>
            </w:tcBorders>
            <w:shd w:val="clear" w:color="auto" w:fill="CCECFF"/>
          </w:tcPr>
          <w:p>
            <w:pPr>
              <w:spacing w:after="0"/>
              <w:rPr>
                <w:sz w:val="20"/>
                <w:szCs w:val="20"/>
                <w:color w:val="auto"/>
              </w:rPr>
            </w:pPr>
          </w:p>
        </w:tc>
      </w:tr>
      <w:tr>
        <w:trPr>
          <w:trHeight w:val="208"/>
        </w:trPr>
        <w:tc>
          <w:tcPr>
            <w:tcW w:w="6720" w:type="dxa"/>
            <w:vAlign w:val="bottom"/>
            <w:tcBorders>
              <w:top w:val="single" w:sz="8" w:color="CCECFF"/>
            </w:tcBorders>
          </w:tcPr>
          <w:p>
            <w:pPr>
              <w:ind w:left="20"/>
              <w:spacing w:after="0" w:line="208" w:lineRule="exact"/>
              <w:rPr>
                <w:sz w:val="20"/>
                <w:szCs w:val="20"/>
                <w:color w:val="auto"/>
              </w:rPr>
            </w:pPr>
            <w:r>
              <w:rPr>
                <w:rFonts w:ascii="Calibri" w:cs="Calibri" w:eastAsia="Calibri" w:hAnsi="Calibri"/>
                <w:sz w:val="18"/>
                <w:szCs w:val="18"/>
                <w:color w:val="auto"/>
              </w:rPr>
              <w:t>Operatng expenses:</w:t>
            </w:r>
          </w:p>
        </w:tc>
        <w:tc>
          <w:tcPr>
            <w:tcW w:w="12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300" w:type="dxa"/>
            <w:vAlign w:val="bottom"/>
            <w:tcBorders>
              <w:top w:val="single" w:sz="8" w:color="CCECFF"/>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20" w:type="dxa"/>
            <w:vAlign w:val="bottom"/>
            <w:tcBorders>
              <w:top w:val="single" w:sz="8" w:color="CCECFF"/>
            </w:tcBorders>
          </w:tcPr>
          <w:p>
            <w:pPr>
              <w:spacing w:after="0"/>
              <w:rPr>
                <w:sz w:val="18"/>
                <w:szCs w:val="18"/>
                <w:color w:val="auto"/>
              </w:rPr>
            </w:pPr>
          </w:p>
        </w:tc>
      </w:tr>
      <w:tr>
        <w:trPr>
          <w:trHeight w:val="28"/>
        </w:trPr>
        <w:tc>
          <w:tcPr>
            <w:tcW w:w="67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23"/>
        </w:trPr>
        <w:tc>
          <w:tcPr>
            <w:tcW w:w="6720" w:type="dxa"/>
            <w:vAlign w:val="bottom"/>
            <w:tcBorders>
              <w:bottom w:val="single" w:sz="8" w:color="CCECFF"/>
            </w:tcBorders>
            <w:shd w:val="clear" w:color="auto" w:fill="CCECFF"/>
          </w:tcPr>
          <w:p>
            <w:pPr>
              <w:ind w:left="200"/>
              <w:spacing w:after="0" w:line="215" w:lineRule="exact"/>
              <w:rPr>
                <w:sz w:val="20"/>
                <w:szCs w:val="20"/>
                <w:color w:val="auto"/>
              </w:rPr>
            </w:pPr>
            <w:r>
              <w:rPr>
                <w:rFonts w:ascii="Calibri" w:cs="Calibri" w:eastAsia="Calibri" w:hAnsi="Calibri"/>
                <w:sz w:val="18"/>
                <w:szCs w:val="18"/>
                <w:color w:val="auto"/>
              </w:rPr>
              <w:t>Research and development</w:t>
            </w:r>
          </w:p>
        </w:tc>
        <w:tc>
          <w:tcPr>
            <w:tcW w:w="1280" w:type="dxa"/>
            <w:vAlign w:val="bottom"/>
            <w:tcBorders>
              <w:bottom w:val="single" w:sz="8" w:color="CCECFF"/>
            </w:tcBorders>
            <w:shd w:val="clear" w:color="auto" w:fill="CCECFF"/>
          </w:tcPr>
          <w:p>
            <w:pPr>
              <w:spacing w:after="0"/>
              <w:rPr>
                <w:sz w:val="19"/>
                <w:szCs w:val="19"/>
                <w:color w:val="auto"/>
              </w:rPr>
            </w:pPr>
          </w:p>
        </w:tc>
        <w:tc>
          <w:tcPr>
            <w:tcW w:w="680" w:type="dxa"/>
            <w:vAlign w:val="bottom"/>
            <w:tcBorders>
              <w:bottom w:val="single" w:sz="8" w:color="CCECFF"/>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1,674</w:t>
            </w:r>
          </w:p>
        </w:tc>
        <w:tc>
          <w:tcPr>
            <w:tcW w:w="300" w:type="dxa"/>
            <w:vAlign w:val="bottom"/>
            <w:tcBorders>
              <w:bottom w:val="single" w:sz="8" w:color="CCECFF"/>
            </w:tcBorders>
            <w:shd w:val="clear" w:color="auto" w:fill="CCECFF"/>
          </w:tcPr>
          <w:p>
            <w:pPr>
              <w:spacing w:after="0"/>
              <w:rPr>
                <w:sz w:val="19"/>
                <w:szCs w:val="19"/>
                <w:color w:val="auto"/>
              </w:rPr>
            </w:pPr>
          </w:p>
        </w:tc>
        <w:tc>
          <w:tcPr>
            <w:tcW w:w="1280" w:type="dxa"/>
            <w:vAlign w:val="bottom"/>
            <w:tcBorders>
              <w:bottom w:val="single" w:sz="8" w:color="CCECFF"/>
            </w:tcBorders>
            <w:shd w:val="clear" w:color="auto" w:fill="CCECFF"/>
          </w:tcPr>
          <w:p>
            <w:pPr>
              <w:spacing w:after="0"/>
              <w:rPr>
                <w:sz w:val="19"/>
                <w:szCs w:val="19"/>
                <w:color w:val="auto"/>
              </w:rPr>
            </w:pPr>
          </w:p>
        </w:tc>
        <w:tc>
          <w:tcPr>
            <w:tcW w:w="660" w:type="dxa"/>
            <w:vAlign w:val="bottom"/>
            <w:tcBorders>
              <w:bottom w:val="single" w:sz="8" w:color="CCECFF"/>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1,599</w:t>
            </w:r>
          </w:p>
        </w:tc>
        <w:tc>
          <w:tcPr>
            <w:tcW w:w="320" w:type="dxa"/>
            <w:vAlign w:val="bottom"/>
            <w:tcBorders>
              <w:bottom w:val="single" w:sz="8" w:color="CCECFF"/>
            </w:tcBorders>
            <w:shd w:val="clear" w:color="auto" w:fill="CCECFF"/>
          </w:tcPr>
          <w:p>
            <w:pPr>
              <w:spacing w:after="0"/>
              <w:rPr>
                <w:sz w:val="19"/>
                <w:szCs w:val="19"/>
                <w:color w:val="auto"/>
              </w:rPr>
            </w:pPr>
          </w:p>
        </w:tc>
      </w:tr>
      <w:tr>
        <w:trPr>
          <w:trHeight w:val="215"/>
        </w:trPr>
        <w:tc>
          <w:tcPr>
            <w:tcW w:w="6720" w:type="dxa"/>
            <w:vAlign w:val="bottom"/>
          </w:tcPr>
          <w:p>
            <w:pPr>
              <w:ind w:left="200"/>
              <w:spacing w:after="0" w:line="215" w:lineRule="exact"/>
              <w:rPr>
                <w:sz w:val="20"/>
                <w:szCs w:val="20"/>
                <w:color w:val="auto"/>
              </w:rPr>
            </w:pPr>
            <w:r>
              <w:rPr>
                <w:rFonts w:ascii="Calibri" w:cs="Calibri" w:eastAsia="Calibri" w:hAnsi="Calibri"/>
                <w:sz w:val="18"/>
                <w:szCs w:val="18"/>
                <w:color w:val="auto"/>
              </w:rPr>
              <w:t>Selling, marketng, and distributon</w:t>
            </w:r>
          </w:p>
        </w:tc>
        <w:tc>
          <w:tcPr>
            <w:tcW w:w="1280" w:type="dxa"/>
            <w:vAlign w:val="bottom"/>
          </w:tcPr>
          <w:p>
            <w:pPr>
              <w:spacing w:after="0"/>
              <w:rPr>
                <w:sz w:val="18"/>
                <w:szCs w:val="18"/>
                <w:color w:val="auto"/>
              </w:rPr>
            </w:pPr>
          </w:p>
        </w:tc>
        <w:tc>
          <w:tcPr>
            <w:tcW w:w="680" w:type="dxa"/>
            <w:vAlign w:val="bottom"/>
          </w:tcPr>
          <w:p>
            <w:pPr>
              <w:jc w:val="right"/>
              <w:spacing w:after="0" w:line="215" w:lineRule="exact"/>
              <w:rPr>
                <w:sz w:val="20"/>
                <w:szCs w:val="20"/>
                <w:color w:val="auto"/>
              </w:rPr>
            </w:pPr>
            <w:r>
              <w:rPr>
                <w:rFonts w:ascii="Calibri" w:cs="Calibri" w:eastAsia="Calibri" w:hAnsi="Calibri"/>
                <w:sz w:val="18"/>
                <w:szCs w:val="18"/>
                <w:color w:val="auto"/>
              </w:rPr>
              <w:t>11,383</w:t>
            </w: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60" w:type="dxa"/>
            <w:vAlign w:val="bottom"/>
          </w:tcPr>
          <w:p>
            <w:pPr>
              <w:jc w:val="right"/>
              <w:spacing w:after="0" w:line="215" w:lineRule="exact"/>
              <w:rPr>
                <w:sz w:val="20"/>
                <w:szCs w:val="20"/>
                <w:color w:val="auto"/>
              </w:rPr>
            </w:pPr>
            <w:r>
              <w:rPr>
                <w:rFonts w:ascii="Calibri" w:cs="Calibri" w:eastAsia="Calibri" w:hAnsi="Calibri"/>
                <w:sz w:val="18"/>
                <w:szCs w:val="18"/>
                <w:color w:val="auto"/>
              </w:rPr>
              <w:t>12,054</w:t>
            </w:r>
          </w:p>
        </w:tc>
        <w:tc>
          <w:tcPr>
            <w:tcW w:w="320" w:type="dxa"/>
            <w:vAlign w:val="bottom"/>
          </w:tcPr>
          <w:p>
            <w:pPr>
              <w:spacing w:after="0"/>
              <w:rPr>
                <w:sz w:val="18"/>
                <w:szCs w:val="18"/>
                <w:color w:val="auto"/>
              </w:rPr>
            </w:pPr>
          </w:p>
        </w:tc>
      </w:tr>
      <w:tr>
        <w:trPr>
          <w:trHeight w:val="28"/>
        </w:trPr>
        <w:tc>
          <w:tcPr>
            <w:tcW w:w="67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43"/>
        </w:trPr>
        <w:tc>
          <w:tcPr>
            <w:tcW w:w="6720" w:type="dxa"/>
            <w:vAlign w:val="bottom"/>
            <w:tcBorders>
              <w:bottom w:val="single" w:sz="8" w:color="CCECFF"/>
            </w:tcBorders>
            <w:shd w:val="clear" w:color="auto" w:fill="CCECFF"/>
          </w:tcPr>
          <w:p>
            <w:pPr>
              <w:ind w:left="200"/>
              <w:spacing w:after="0" w:line="215" w:lineRule="exact"/>
              <w:rPr>
                <w:sz w:val="20"/>
                <w:szCs w:val="20"/>
                <w:color w:val="auto"/>
              </w:rPr>
            </w:pPr>
            <w:r>
              <w:rPr>
                <w:rFonts w:ascii="Calibri" w:cs="Calibri" w:eastAsia="Calibri" w:hAnsi="Calibri"/>
                <w:sz w:val="18"/>
                <w:szCs w:val="18"/>
                <w:color w:val="auto"/>
              </w:rPr>
              <w:t>General and administratve</w:t>
            </w:r>
          </w:p>
        </w:tc>
        <w:tc>
          <w:tcPr>
            <w:tcW w:w="1280" w:type="dxa"/>
            <w:vAlign w:val="bottom"/>
            <w:tcBorders>
              <w:bottom w:val="single" w:sz="8" w:color="CCECFF"/>
            </w:tcBorders>
            <w:shd w:val="clear" w:color="auto" w:fill="CCECFF"/>
          </w:tcPr>
          <w:p>
            <w:pPr>
              <w:spacing w:after="0"/>
              <w:rPr>
                <w:sz w:val="21"/>
                <w:szCs w:val="21"/>
                <w:color w:val="auto"/>
              </w:rPr>
            </w:pPr>
          </w:p>
        </w:tc>
        <w:tc>
          <w:tcPr>
            <w:tcW w:w="680" w:type="dxa"/>
            <w:vAlign w:val="bottom"/>
            <w:tcBorders>
              <w:bottom w:val="single" w:sz="8" w:color="CCECFF"/>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8,443</w:t>
            </w:r>
          </w:p>
        </w:tc>
        <w:tc>
          <w:tcPr>
            <w:tcW w:w="300" w:type="dxa"/>
            <w:vAlign w:val="bottom"/>
            <w:tcBorders>
              <w:bottom w:val="single" w:sz="8" w:color="CCECFF"/>
            </w:tcBorders>
            <w:shd w:val="clear" w:color="auto" w:fill="CCECFF"/>
          </w:tcPr>
          <w:p>
            <w:pPr>
              <w:spacing w:after="0"/>
              <w:rPr>
                <w:sz w:val="21"/>
                <w:szCs w:val="21"/>
                <w:color w:val="auto"/>
              </w:rPr>
            </w:pPr>
          </w:p>
        </w:tc>
        <w:tc>
          <w:tcPr>
            <w:tcW w:w="1280" w:type="dxa"/>
            <w:vAlign w:val="bottom"/>
            <w:tcBorders>
              <w:bottom w:val="single" w:sz="8" w:color="CCECFF"/>
            </w:tcBorders>
            <w:shd w:val="clear" w:color="auto" w:fill="CCECFF"/>
          </w:tcPr>
          <w:p>
            <w:pPr>
              <w:spacing w:after="0"/>
              <w:rPr>
                <w:sz w:val="21"/>
                <w:szCs w:val="21"/>
                <w:color w:val="auto"/>
              </w:rPr>
            </w:pPr>
          </w:p>
        </w:tc>
        <w:tc>
          <w:tcPr>
            <w:tcW w:w="660" w:type="dxa"/>
            <w:vAlign w:val="bottom"/>
            <w:tcBorders>
              <w:bottom w:val="single" w:sz="8" w:color="CCECFF"/>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10,151</w:t>
            </w:r>
          </w:p>
        </w:tc>
        <w:tc>
          <w:tcPr>
            <w:tcW w:w="320" w:type="dxa"/>
            <w:vAlign w:val="bottom"/>
            <w:tcBorders>
              <w:bottom w:val="single" w:sz="8" w:color="CCECFF"/>
            </w:tcBorders>
            <w:shd w:val="clear" w:color="auto" w:fill="CCECFF"/>
          </w:tcPr>
          <w:p>
            <w:pPr>
              <w:spacing w:after="0"/>
              <w:rPr>
                <w:sz w:val="21"/>
                <w:szCs w:val="21"/>
                <w:color w:val="auto"/>
              </w:rPr>
            </w:pPr>
          </w:p>
        </w:tc>
      </w:tr>
      <w:tr>
        <w:trPr>
          <w:trHeight w:val="208"/>
        </w:trPr>
        <w:tc>
          <w:tcPr>
            <w:tcW w:w="6720" w:type="dxa"/>
            <w:vAlign w:val="bottom"/>
          </w:tcPr>
          <w:p>
            <w:pPr>
              <w:ind w:left="380"/>
              <w:spacing w:after="0" w:line="195" w:lineRule="exact"/>
              <w:rPr>
                <w:sz w:val="20"/>
                <w:szCs w:val="20"/>
                <w:color w:val="auto"/>
              </w:rPr>
            </w:pPr>
            <w:r>
              <w:rPr>
                <w:rFonts w:ascii="Calibri" w:cs="Calibri" w:eastAsia="Calibri" w:hAnsi="Calibri"/>
                <w:sz w:val="18"/>
                <w:szCs w:val="18"/>
                <w:color w:val="auto"/>
              </w:rPr>
              <w:t>Total operatng expenses</w:t>
            </w:r>
          </w:p>
        </w:tc>
        <w:tc>
          <w:tcPr>
            <w:tcW w:w="12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21,500</w:t>
            </w:r>
          </w:p>
        </w:tc>
        <w:tc>
          <w:tcPr>
            <w:tcW w:w="30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23,804</w:t>
            </w:r>
          </w:p>
        </w:tc>
        <w:tc>
          <w:tcPr>
            <w:tcW w:w="320" w:type="dxa"/>
            <w:vAlign w:val="bottom"/>
          </w:tcPr>
          <w:p>
            <w:pPr>
              <w:spacing w:after="0"/>
              <w:rPr>
                <w:sz w:val="18"/>
                <w:szCs w:val="18"/>
                <w:color w:val="auto"/>
              </w:rPr>
            </w:pPr>
          </w:p>
        </w:tc>
      </w:tr>
      <w:tr>
        <w:trPr>
          <w:trHeight w:val="28"/>
        </w:trPr>
        <w:tc>
          <w:tcPr>
            <w:tcW w:w="67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r>
      <w:tr>
        <w:trPr>
          <w:trHeight w:val="242"/>
        </w:trPr>
        <w:tc>
          <w:tcPr>
            <w:tcW w:w="6720" w:type="dxa"/>
            <w:vAlign w:val="bottom"/>
            <w:tcBorders>
              <w:bottom w:val="single" w:sz="8" w:color="CCECFF"/>
            </w:tcBorders>
            <w:shd w:val="clear" w:color="auto" w:fill="CCECFF"/>
          </w:tcPr>
          <w:p>
            <w:pPr>
              <w:ind w:left="20"/>
              <w:spacing w:after="0" w:line="208" w:lineRule="exact"/>
              <w:rPr>
                <w:sz w:val="20"/>
                <w:szCs w:val="20"/>
                <w:color w:val="auto"/>
              </w:rPr>
            </w:pPr>
            <w:r>
              <w:rPr>
                <w:rFonts w:ascii="Calibri" w:cs="Calibri" w:eastAsia="Calibri" w:hAnsi="Calibri"/>
                <w:sz w:val="18"/>
                <w:szCs w:val="18"/>
                <w:color w:val="auto"/>
              </w:rPr>
              <w:t>Operatng loss</w:t>
            </w:r>
          </w:p>
        </w:tc>
        <w:tc>
          <w:tcPr>
            <w:tcW w:w="1280" w:type="dxa"/>
            <w:vAlign w:val="bottom"/>
            <w:tcBorders>
              <w:bottom w:val="single" w:sz="8" w:color="CCECFF"/>
            </w:tcBorders>
            <w:shd w:val="clear" w:color="auto" w:fill="CCECFF"/>
          </w:tcPr>
          <w:p>
            <w:pPr>
              <w:spacing w:after="0"/>
              <w:rPr>
                <w:sz w:val="20"/>
                <w:szCs w:val="20"/>
                <w:color w:val="auto"/>
              </w:rPr>
            </w:pPr>
          </w:p>
        </w:tc>
        <w:tc>
          <w:tcPr>
            <w:tcW w:w="980" w:type="dxa"/>
            <w:vAlign w:val="bottom"/>
            <w:tcBorders>
              <w:bottom w:val="single" w:sz="8" w:color="CCECFF"/>
            </w:tcBorders>
            <w:gridSpan w:val="2"/>
            <w:shd w:val="clear" w:color="auto" w:fill="CCECFF"/>
          </w:tcPr>
          <w:p>
            <w:pPr>
              <w:jc w:val="right"/>
              <w:ind w:right="240"/>
              <w:spacing w:after="0" w:line="208" w:lineRule="exact"/>
              <w:rPr>
                <w:sz w:val="20"/>
                <w:szCs w:val="20"/>
                <w:color w:val="auto"/>
              </w:rPr>
            </w:pPr>
            <w:r>
              <w:rPr>
                <w:rFonts w:ascii="Calibri" w:cs="Calibri" w:eastAsia="Calibri" w:hAnsi="Calibri"/>
                <w:sz w:val="18"/>
                <w:szCs w:val="18"/>
                <w:color w:val="auto"/>
              </w:rPr>
              <w:t>(2,574 )</w:t>
            </w:r>
          </w:p>
        </w:tc>
        <w:tc>
          <w:tcPr>
            <w:tcW w:w="1280" w:type="dxa"/>
            <w:vAlign w:val="bottom"/>
            <w:tcBorders>
              <w:bottom w:val="single" w:sz="8" w:color="CCECFF"/>
            </w:tcBorders>
            <w:shd w:val="clear" w:color="auto" w:fill="CCECFF"/>
          </w:tcPr>
          <w:p>
            <w:pPr>
              <w:spacing w:after="0"/>
              <w:rPr>
                <w:sz w:val="20"/>
                <w:szCs w:val="20"/>
                <w:color w:val="auto"/>
              </w:rPr>
            </w:pPr>
          </w:p>
        </w:tc>
        <w:tc>
          <w:tcPr>
            <w:tcW w:w="980" w:type="dxa"/>
            <w:vAlign w:val="bottom"/>
            <w:tcBorders>
              <w:bottom w:val="single" w:sz="8" w:color="CCECFF"/>
            </w:tcBorders>
            <w:gridSpan w:val="2"/>
            <w:shd w:val="clear" w:color="auto" w:fill="CCECFF"/>
          </w:tcPr>
          <w:p>
            <w:pPr>
              <w:jc w:val="right"/>
              <w:ind w:right="260"/>
              <w:spacing w:after="0" w:line="208" w:lineRule="exact"/>
              <w:rPr>
                <w:sz w:val="20"/>
                <w:szCs w:val="20"/>
                <w:color w:val="auto"/>
              </w:rPr>
            </w:pPr>
            <w:r>
              <w:rPr>
                <w:rFonts w:ascii="Calibri" w:cs="Calibri" w:eastAsia="Calibri" w:hAnsi="Calibri"/>
                <w:sz w:val="18"/>
                <w:szCs w:val="18"/>
                <w:color w:val="auto"/>
              </w:rPr>
              <w:t>(4,085 )</w:t>
            </w:r>
          </w:p>
        </w:tc>
      </w:tr>
      <w:tr>
        <w:trPr>
          <w:trHeight w:val="208"/>
        </w:trPr>
        <w:tc>
          <w:tcPr>
            <w:tcW w:w="6720" w:type="dxa"/>
            <w:vAlign w:val="bottom"/>
            <w:tcBorders>
              <w:top w:val="single" w:sz="8" w:color="CCECFF"/>
            </w:tcBorders>
          </w:tcPr>
          <w:p>
            <w:pPr>
              <w:ind w:left="20"/>
              <w:spacing w:after="0" w:line="208" w:lineRule="exact"/>
              <w:rPr>
                <w:sz w:val="20"/>
                <w:szCs w:val="20"/>
                <w:color w:val="auto"/>
              </w:rPr>
            </w:pPr>
            <w:r>
              <w:rPr>
                <w:rFonts w:ascii="Calibri" w:cs="Calibri" w:eastAsia="Calibri" w:hAnsi="Calibri"/>
                <w:sz w:val="18"/>
                <w:szCs w:val="18"/>
                <w:color w:val="auto"/>
              </w:rPr>
              <w:t>Other (expense)/income, net:</w:t>
            </w:r>
          </w:p>
        </w:tc>
        <w:tc>
          <w:tcPr>
            <w:tcW w:w="12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300" w:type="dxa"/>
            <w:vAlign w:val="bottom"/>
            <w:tcBorders>
              <w:top w:val="single" w:sz="8" w:color="CCECFF"/>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20" w:type="dxa"/>
            <w:vAlign w:val="bottom"/>
            <w:tcBorders>
              <w:top w:val="single" w:sz="8" w:color="CCECFF"/>
            </w:tcBorders>
          </w:tcPr>
          <w:p>
            <w:pPr>
              <w:spacing w:after="0"/>
              <w:rPr>
                <w:sz w:val="18"/>
                <w:szCs w:val="18"/>
                <w:color w:val="auto"/>
              </w:rPr>
            </w:pPr>
          </w:p>
        </w:tc>
      </w:tr>
      <w:tr>
        <w:trPr>
          <w:trHeight w:val="28"/>
        </w:trPr>
        <w:tc>
          <w:tcPr>
            <w:tcW w:w="67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23"/>
        </w:trPr>
        <w:tc>
          <w:tcPr>
            <w:tcW w:w="6720" w:type="dxa"/>
            <w:vAlign w:val="bottom"/>
            <w:tcBorders>
              <w:bottom w:val="single" w:sz="8" w:color="CCECFF"/>
            </w:tcBorders>
            <w:shd w:val="clear" w:color="auto" w:fill="CCECFF"/>
          </w:tcPr>
          <w:p>
            <w:pPr>
              <w:ind w:left="200"/>
              <w:spacing w:after="0" w:line="215" w:lineRule="exact"/>
              <w:rPr>
                <w:sz w:val="20"/>
                <w:szCs w:val="20"/>
                <w:color w:val="auto"/>
              </w:rPr>
            </w:pPr>
            <w:r>
              <w:rPr>
                <w:rFonts w:ascii="Calibri" w:cs="Calibri" w:eastAsia="Calibri" w:hAnsi="Calibri"/>
                <w:sz w:val="18"/>
                <w:szCs w:val="18"/>
                <w:color w:val="auto"/>
              </w:rPr>
              <w:t>Other income, net</w:t>
            </w:r>
          </w:p>
        </w:tc>
        <w:tc>
          <w:tcPr>
            <w:tcW w:w="1280" w:type="dxa"/>
            <w:vAlign w:val="bottom"/>
            <w:tcBorders>
              <w:bottom w:val="single" w:sz="8" w:color="CCECFF"/>
            </w:tcBorders>
            <w:shd w:val="clear" w:color="auto" w:fill="CCECFF"/>
          </w:tcPr>
          <w:p>
            <w:pPr>
              <w:spacing w:after="0"/>
              <w:rPr>
                <w:sz w:val="19"/>
                <w:szCs w:val="19"/>
                <w:color w:val="auto"/>
              </w:rPr>
            </w:pPr>
          </w:p>
        </w:tc>
        <w:tc>
          <w:tcPr>
            <w:tcW w:w="680" w:type="dxa"/>
            <w:vAlign w:val="bottom"/>
            <w:tcBorders>
              <w:bottom w:val="single" w:sz="8" w:color="CCECFF"/>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83</w:t>
            </w:r>
          </w:p>
        </w:tc>
        <w:tc>
          <w:tcPr>
            <w:tcW w:w="300" w:type="dxa"/>
            <w:vAlign w:val="bottom"/>
            <w:tcBorders>
              <w:bottom w:val="single" w:sz="8" w:color="CCECFF"/>
            </w:tcBorders>
            <w:shd w:val="clear" w:color="auto" w:fill="CCECFF"/>
          </w:tcPr>
          <w:p>
            <w:pPr>
              <w:spacing w:after="0"/>
              <w:rPr>
                <w:sz w:val="19"/>
                <w:szCs w:val="19"/>
                <w:color w:val="auto"/>
              </w:rPr>
            </w:pPr>
          </w:p>
        </w:tc>
        <w:tc>
          <w:tcPr>
            <w:tcW w:w="1280" w:type="dxa"/>
            <w:vAlign w:val="bottom"/>
            <w:tcBorders>
              <w:bottom w:val="single" w:sz="8" w:color="CCECFF"/>
            </w:tcBorders>
            <w:shd w:val="clear" w:color="auto" w:fill="CCECFF"/>
          </w:tcPr>
          <w:p>
            <w:pPr>
              <w:spacing w:after="0"/>
              <w:rPr>
                <w:sz w:val="19"/>
                <w:szCs w:val="19"/>
                <w:color w:val="auto"/>
              </w:rPr>
            </w:pPr>
          </w:p>
        </w:tc>
        <w:tc>
          <w:tcPr>
            <w:tcW w:w="660" w:type="dxa"/>
            <w:vAlign w:val="bottom"/>
            <w:tcBorders>
              <w:bottom w:val="single" w:sz="8" w:color="CCECFF"/>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39</w:t>
            </w:r>
          </w:p>
        </w:tc>
        <w:tc>
          <w:tcPr>
            <w:tcW w:w="320" w:type="dxa"/>
            <w:vAlign w:val="bottom"/>
            <w:tcBorders>
              <w:bottom w:val="single" w:sz="8" w:color="CCECFF"/>
            </w:tcBorders>
            <w:shd w:val="clear" w:color="auto" w:fill="CCECFF"/>
          </w:tcPr>
          <w:p>
            <w:pPr>
              <w:spacing w:after="0"/>
              <w:rPr>
                <w:sz w:val="19"/>
                <w:szCs w:val="19"/>
                <w:color w:val="auto"/>
              </w:rPr>
            </w:pPr>
          </w:p>
        </w:tc>
      </w:tr>
      <w:tr>
        <w:trPr>
          <w:trHeight w:val="215"/>
        </w:trPr>
        <w:tc>
          <w:tcPr>
            <w:tcW w:w="6720" w:type="dxa"/>
            <w:vAlign w:val="bottom"/>
          </w:tcPr>
          <w:p>
            <w:pPr>
              <w:ind w:left="200"/>
              <w:spacing w:after="0" w:line="215" w:lineRule="exact"/>
              <w:rPr>
                <w:sz w:val="20"/>
                <w:szCs w:val="20"/>
                <w:color w:val="auto"/>
              </w:rPr>
            </w:pPr>
            <w:r>
              <w:rPr>
                <w:rFonts w:ascii="Calibri" w:cs="Calibri" w:eastAsia="Calibri" w:hAnsi="Calibri"/>
                <w:sz w:val="18"/>
                <w:szCs w:val="18"/>
                <w:color w:val="auto"/>
              </w:rPr>
              <w:t>Interest income/(expense), net</w:t>
            </w:r>
          </w:p>
        </w:tc>
        <w:tc>
          <w:tcPr>
            <w:tcW w:w="1280" w:type="dxa"/>
            <w:vAlign w:val="bottom"/>
          </w:tcPr>
          <w:p>
            <w:pPr>
              <w:spacing w:after="0"/>
              <w:rPr>
                <w:sz w:val="18"/>
                <w:szCs w:val="18"/>
                <w:color w:val="auto"/>
              </w:rPr>
            </w:pPr>
          </w:p>
        </w:tc>
        <w:tc>
          <w:tcPr>
            <w:tcW w:w="680" w:type="dxa"/>
            <w:vAlign w:val="bottom"/>
          </w:tcPr>
          <w:p>
            <w:pPr>
              <w:jc w:val="right"/>
              <w:spacing w:after="0" w:line="215" w:lineRule="exact"/>
              <w:rPr>
                <w:sz w:val="20"/>
                <w:szCs w:val="20"/>
                <w:color w:val="auto"/>
              </w:rPr>
            </w:pPr>
            <w:r>
              <w:rPr>
                <w:rFonts w:ascii="Calibri" w:cs="Calibri" w:eastAsia="Calibri" w:hAnsi="Calibri"/>
                <w:sz w:val="18"/>
                <w:szCs w:val="18"/>
                <w:color w:val="auto"/>
              </w:rPr>
              <w:t>148</w:t>
            </w: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80" w:type="dxa"/>
            <w:vAlign w:val="bottom"/>
            <w:gridSpan w:val="2"/>
          </w:tcPr>
          <w:p>
            <w:pPr>
              <w:jc w:val="right"/>
              <w:ind w:right="260"/>
              <w:spacing w:after="0" w:line="215" w:lineRule="exact"/>
              <w:rPr>
                <w:sz w:val="20"/>
                <w:szCs w:val="20"/>
                <w:color w:val="auto"/>
              </w:rPr>
            </w:pPr>
            <w:r>
              <w:rPr>
                <w:rFonts w:ascii="Calibri" w:cs="Calibri" w:eastAsia="Calibri" w:hAnsi="Calibri"/>
                <w:sz w:val="18"/>
                <w:szCs w:val="18"/>
                <w:color w:val="auto"/>
              </w:rPr>
              <w:t>(12 )</w:t>
            </w:r>
          </w:p>
        </w:tc>
      </w:tr>
      <w:tr>
        <w:trPr>
          <w:trHeight w:val="28"/>
        </w:trPr>
        <w:tc>
          <w:tcPr>
            <w:tcW w:w="67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r>
      <w:tr>
        <w:trPr>
          <w:trHeight w:val="216"/>
        </w:trPr>
        <w:tc>
          <w:tcPr>
            <w:tcW w:w="6720" w:type="dxa"/>
            <w:vAlign w:val="bottom"/>
            <w:tcBorders>
              <w:bottom w:val="single" w:sz="8" w:color="CCECFF"/>
            </w:tcBorders>
            <w:shd w:val="clear" w:color="auto" w:fill="CCECFF"/>
          </w:tcPr>
          <w:p>
            <w:pPr>
              <w:ind w:left="380"/>
              <w:spacing w:after="0" w:line="208" w:lineRule="exact"/>
              <w:rPr>
                <w:sz w:val="20"/>
                <w:szCs w:val="20"/>
                <w:color w:val="auto"/>
              </w:rPr>
            </w:pPr>
            <w:r>
              <w:rPr>
                <w:rFonts w:ascii="Calibri" w:cs="Calibri" w:eastAsia="Calibri" w:hAnsi="Calibri"/>
                <w:sz w:val="18"/>
                <w:szCs w:val="18"/>
                <w:color w:val="auto"/>
              </w:rPr>
              <w:t>Total other (expense)/income, net</w:t>
            </w:r>
          </w:p>
        </w:tc>
        <w:tc>
          <w:tcPr>
            <w:tcW w:w="1280" w:type="dxa"/>
            <w:vAlign w:val="bottom"/>
            <w:tcBorders>
              <w:bottom w:val="single" w:sz="8" w:color="CCECFF"/>
            </w:tcBorders>
            <w:shd w:val="clear" w:color="auto" w:fill="CCECFF"/>
          </w:tcPr>
          <w:p>
            <w:pPr>
              <w:spacing w:after="0"/>
              <w:rPr>
                <w:sz w:val="18"/>
                <w:szCs w:val="18"/>
                <w:color w:val="auto"/>
              </w:rPr>
            </w:pPr>
          </w:p>
        </w:tc>
        <w:tc>
          <w:tcPr>
            <w:tcW w:w="680" w:type="dxa"/>
            <w:vAlign w:val="bottom"/>
            <w:tcBorders>
              <w:bottom w:val="single" w:sz="8" w:color="CCECFF"/>
            </w:tcBorders>
            <w:shd w:val="clear" w:color="auto" w:fill="CCECFF"/>
          </w:tcPr>
          <w:p>
            <w:pPr>
              <w:jc w:val="right"/>
              <w:spacing w:after="0" w:line="208" w:lineRule="exact"/>
              <w:rPr>
                <w:sz w:val="20"/>
                <w:szCs w:val="20"/>
                <w:color w:val="auto"/>
              </w:rPr>
            </w:pPr>
            <w:r>
              <w:rPr>
                <w:rFonts w:ascii="Calibri" w:cs="Calibri" w:eastAsia="Calibri" w:hAnsi="Calibri"/>
                <w:sz w:val="18"/>
                <w:szCs w:val="18"/>
                <w:color w:val="auto"/>
              </w:rPr>
              <w:t>231</w:t>
            </w:r>
          </w:p>
        </w:tc>
        <w:tc>
          <w:tcPr>
            <w:tcW w:w="300" w:type="dxa"/>
            <w:vAlign w:val="bottom"/>
            <w:tcBorders>
              <w:bottom w:val="single" w:sz="8" w:color="CCECFF"/>
            </w:tcBorders>
            <w:shd w:val="clear" w:color="auto" w:fill="CCECFF"/>
          </w:tcPr>
          <w:p>
            <w:pPr>
              <w:spacing w:after="0"/>
              <w:rPr>
                <w:sz w:val="18"/>
                <w:szCs w:val="18"/>
                <w:color w:val="auto"/>
              </w:rPr>
            </w:pPr>
          </w:p>
        </w:tc>
        <w:tc>
          <w:tcPr>
            <w:tcW w:w="1280" w:type="dxa"/>
            <w:vAlign w:val="bottom"/>
            <w:tcBorders>
              <w:bottom w:val="single" w:sz="8" w:color="CCECFF"/>
            </w:tcBorders>
            <w:shd w:val="clear" w:color="auto" w:fill="CCECFF"/>
          </w:tcPr>
          <w:p>
            <w:pPr>
              <w:spacing w:after="0"/>
              <w:rPr>
                <w:sz w:val="18"/>
                <w:szCs w:val="18"/>
                <w:color w:val="auto"/>
              </w:rPr>
            </w:pPr>
          </w:p>
        </w:tc>
        <w:tc>
          <w:tcPr>
            <w:tcW w:w="660" w:type="dxa"/>
            <w:vAlign w:val="bottom"/>
            <w:tcBorders>
              <w:bottom w:val="single" w:sz="8" w:color="CCECFF"/>
            </w:tcBorders>
            <w:shd w:val="clear" w:color="auto" w:fill="CCECFF"/>
          </w:tcPr>
          <w:p>
            <w:pPr>
              <w:jc w:val="right"/>
              <w:spacing w:after="0" w:line="208" w:lineRule="exact"/>
              <w:rPr>
                <w:sz w:val="20"/>
                <w:szCs w:val="20"/>
                <w:color w:val="auto"/>
              </w:rPr>
            </w:pPr>
            <w:r>
              <w:rPr>
                <w:rFonts w:ascii="Calibri" w:cs="Calibri" w:eastAsia="Calibri" w:hAnsi="Calibri"/>
                <w:sz w:val="18"/>
                <w:szCs w:val="18"/>
                <w:color w:val="auto"/>
              </w:rPr>
              <w:t>27</w:t>
            </w:r>
          </w:p>
        </w:tc>
        <w:tc>
          <w:tcPr>
            <w:tcW w:w="320" w:type="dxa"/>
            <w:vAlign w:val="bottom"/>
            <w:tcBorders>
              <w:bottom w:val="single" w:sz="8" w:color="CCECFF"/>
            </w:tcBorders>
            <w:shd w:val="clear" w:color="auto" w:fill="CCECFF"/>
          </w:tcPr>
          <w:p>
            <w:pPr>
              <w:spacing w:after="0"/>
              <w:rPr>
                <w:sz w:val="18"/>
                <w:szCs w:val="18"/>
                <w:color w:val="auto"/>
              </w:rPr>
            </w:pPr>
          </w:p>
        </w:tc>
      </w:tr>
      <w:tr>
        <w:trPr>
          <w:trHeight w:val="20"/>
        </w:trPr>
        <w:tc>
          <w:tcPr>
            <w:tcW w:w="6720" w:type="dxa"/>
            <w:vAlign w:val="bottom"/>
            <w:shd w:val="clear" w:color="auto" w:fill="CCECFF"/>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shd w:val="clear" w:color="auto" w:fill="CCECFF"/>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shd w:val="clear" w:color="auto" w:fill="CCECFF"/>
          </w:tcPr>
          <w:p>
            <w:pPr>
              <w:spacing w:after="0" w:line="20" w:lineRule="exact"/>
              <w:rPr>
                <w:sz w:val="1"/>
                <w:szCs w:val="1"/>
                <w:color w:val="auto"/>
              </w:rPr>
            </w:pPr>
          </w:p>
        </w:tc>
      </w:tr>
      <w:tr>
        <w:trPr>
          <w:trHeight w:val="208"/>
        </w:trPr>
        <w:tc>
          <w:tcPr>
            <w:tcW w:w="6720" w:type="dxa"/>
            <w:vAlign w:val="bottom"/>
          </w:tcPr>
          <w:p>
            <w:pPr>
              <w:ind w:left="20"/>
              <w:spacing w:after="0" w:line="208" w:lineRule="exact"/>
              <w:rPr>
                <w:sz w:val="20"/>
                <w:szCs w:val="20"/>
                <w:color w:val="auto"/>
              </w:rPr>
            </w:pPr>
            <w:r>
              <w:rPr>
                <w:rFonts w:ascii="Calibri" w:cs="Calibri" w:eastAsia="Calibri" w:hAnsi="Calibri"/>
                <w:sz w:val="18"/>
                <w:szCs w:val="18"/>
                <w:color w:val="auto"/>
              </w:rPr>
              <w:t>Loss from operatons before income taxes</w:t>
            </w:r>
          </w:p>
        </w:tc>
        <w:tc>
          <w:tcPr>
            <w:tcW w:w="1280" w:type="dxa"/>
            <w:vAlign w:val="bottom"/>
          </w:tcPr>
          <w:p>
            <w:pPr>
              <w:spacing w:after="0"/>
              <w:rPr>
                <w:sz w:val="18"/>
                <w:szCs w:val="18"/>
                <w:color w:val="auto"/>
              </w:rPr>
            </w:pPr>
          </w:p>
        </w:tc>
        <w:tc>
          <w:tcPr>
            <w:tcW w:w="980" w:type="dxa"/>
            <w:vAlign w:val="bottom"/>
            <w:gridSpan w:val="2"/>
          </w:tcPr>
          <w:p>
            <w:pPr>
              <w:jc w:val="right"/>
              <w:ind w:right="240"/>
              <w:spacing w:after="0" w:line="208" w:lineRule="exact"/>
              <w:rPr>
                <w:sz w:val="20"/>
                <w:szCs w:val="20"/>
                <w:color w:val="auto"/>
              </w:rPr>
            </w:pPr>
            <w:r>
              <w:rPr>
                <w:rFonts w:ascii="Calibri" w:cs="Calibri" w:eastAsia="Calibri" w:hAnsi="Calibri"/>
                <w:sz w:val="18"/>
                <w:szCs w:val="18"/>
                <w:color w:val="auto"/>
              </w:rPr>
              <w:t>(2,343 )</w:t>
            </w:r>
          </w:p>
        </w:tc>
        <w:tc>
          <w:tcPr>
            <w:tcW w:w="1280" w:type="dxa"/>
            <w:vAlign w:val="bottom"/>
          </w:tcPr>
          <w:p>
            <w:pPr>
              <w:spacing w:after="0"/>
              <w:rPr>
                <w:sz w:val="18"/>
                <w:szCs w:val="18"/>
                <w:color w:val="auto"/>
              </w:rPr>
            </w:pPr>
          </w:p>
        </w:tc>
        <w:tc>
          <w:tcPr>
            <w:tcW w:w="980" w:type="dxa"/>
            <w:vAlign w:val="bottom"/>
            <w:gridSpan w:val="2"/>
          </w:tcPr>
          <w:p>
            <w:pPr>
              <w:jc w:val="right"/>
              <w:ind w:right="260"/>
              <w:spacing w:after="0" w:line="208" w:lineRule="exact"/>
              <w:rPr>
                <w:sz w:val="20"/>
                <w:szCs w:val="20"/>
                <w:color w:val="auto"/>
              </w:rPr>
            </w:pPr>
            <w:r>
              <w:rPr>
                <w:rFonts w:ascii="Calibri" w:cs="Calibri" w:eastAsia="Calibri" w:hAnsi="Calibri"/>
                <w:sz w:val="18"/>
                <w:szCs w:val="18"/>
                <w:color w:val="auto"/>
              </w:rPr>
              <w:t>(4,058 )</w:t>
            </w:r>
          </w:p>
        </w:tc>
      </w:tr>
      <w:tr>
        <w:trPr>
          <w:trHeight w:val="28"/>
        </w:trPr>
        <w:tc>
          <w:tcPr>
            <w:tcW w:w="67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23"/>
        </w:trPr>
        <w:tc>
          <w:tcPr>
            <w:tcW w:w="6720" w:type="dxa"/>
            <w:vAlign w:val="bottom"/>
            <w:tcBorders>
              <w:bottom w:val="single" w:sz="8" w:color="CCECFF"/>
            </w:tcBorders>
            <w:shd w:val="clear" w:color="auto" w:fill="CCECFF"/>
          </w:tcPr>
          <w:p>
            <w:pPr>
              <w:ind w:left="20"/>
              <w:spacing w:after="0" w:line="215" w:lineRule="exact"/>
              <w:rPr>
                <w:sz w:val="20"/>
                <w:szCs w:val="20"/>
                <w:color w:val="auto"/>
              </w:rPr>
            </w:pPr>
            <w:r>
              <w:rPr>
                <w:rFonts w:ascii="Calibri" w:cs="Calibri" w:eastAsia="Calibri" w:hAnsi="Calibri"/>
                <w:sz w:val="18"/>
                <w:szCs w:val="18"/>
                <w:color w:val="auto"/>
              </w:rPr>
              <w:t>Income tax expense</w:t>
            </w:r>
          </w:p>
        </w:tc>
        <w:tc>
          <w:tcPr>
            <w:tcW w:w="1280" w:type="dxa"/>
            <w:vAlign w:val="bottom"/>
            <w:tcBorders>
              <w:bottom w:val="single" w:sz="8" w:color="CCECFF"/>
            </w:tcBorders>
            <w:shd w:val="clear" w:color="auto" w:fill="CCECFF"/>
          </w:tcPr>
          <w:p>
            <w:pPr>
              <w:spacing w:after="0"/>
              <w:rPr>
                <w:sz w:val="19"/>
                <w:szCs w:val="19"/>
                <w:color w:val="auto"/>
              </w:rPr>
            </w:pPr>
          </w:p>
        </w:tc>
        <w:tc>
          <w:tcPr>
            <w:tcW w:w="680" w:type="dxa"/>
            <w:vAlign w:val="bottom"/>
            <w:tcBorders>
              <w:bottom w:val="single" w:sz="8" w:color="CCECFF"/>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22</w:t>
            </w:r>
          </w:p>
        </w:tc>
        <w:tc>
          <w:tcPr>
            <w:tcW w:w="300" w:type="dxa"/>
            <w:vAlign w:val="bottom"/>
            <w:tcBorders>
              <w:bottom w:val="single" w:sz="8" w:color="CCECFF"/>
            </w:tcBorders>
            <w:shd w:val="clear" w:color="auto" w:fill="CCECFF"/>
          </w:tcPr>
          <w:p>
            <w:pPr>
              <w:spacing w:after="0"/>
              <w:rPr>
                <w:sz w:val="19"/>
                <w:szCs w:val="19"/>
                <w:color w:val="auto"/>
              </w:rPr>
            </w:pPr>
          </w:p>
        </w:tc>
        <w:tc>
          <w:tcPr>
            <w:tcW w:w="1280" w:type="dxa"/>
            <w:vAlign w:val="bottom"/>
            <w:tcBorders>
              <w:bottom w:val="single" w:sz="8" w:color="CCECFF"/>
            </w:tcBorders>
            <w:shd w:val="clear" w:color="auto" w:fill="CCECFF"/>
          </w:tcPr>
          <w:p>
            <w:pPr>
              <w:spacing w:after="0"/>
              <w:rPr>
                <w:sz w:val="19"/>
                <w:szCs w:val="19"/>
                <w:color w:val="auto"/>
              </w:rPr>
            </w:pPr>
          </w:p>
        </w:tc>
        <w:tc>
          <w:tcPr>
            <w:tcW w:w="660" w:type="dxa"/>
            <w:vAlign w:val="bottom"/>
            <w:tcBorders>
              <w:bottom w:val="single" w:sz="8" w:color="CCECFF"/>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55</w:t>
            </w:r>
          </w:p>
        </w:tc>
        <w:tc>
          <w:tcPr>
            <w:tcW w:w="320" w:type="dxa"/>
            <w:vAlign w:val="bottom"/>
            <w:tcBorders>
              <w:bottom w:val="single" w:sz="8" w:color="CCECFF"/>
            </w:tcBorders>
            <w:shd w:val="clear" w:color="auto" w:fill="CCECFF"/>
          </w:tcPr>
          <w:p>
            <w:pPr>
              <w:spacing w:after="0"/>
              <w:rPr>
                <w:sz w:val="19"/>
                <w:szCs w:val="19"/>
                <w:color w:val="auto"/>
              </w:rPr>
            </w:pPr>
          </w:p>
        </w:tc>
      </w:tr>
      <w:tr>
        <w:trPr>
          <w:trHeight w:val="20"/>
        </w:trPr>
        <w:tc>
          <w:tcPr>
            <w:tcW w:w="6720" w:type="dxa"/>
            <w:vAlign w:val="bottom"/>
            <w:shd w:val="clear" w:color="auto" w:fill="CCECFF"/>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shd w:val="clear" w:color="auto" w:fill="CCECFF"/>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shd w:val="clear" w:color="auto" w:fill="CCECFF"/>
          </w:tcPr>
          <w:p>
            <w:pPr>
              <w:spacing w:after="0" w:line="20" w:lineRule="exact"/>
              <w:rPr>
                <w:sz w:val="1"/>
                <w:szCs w:val="1"/>
                <w:color w:val="auto"/>
              </w:rPr>
            </w:pPr>
          </w:p>
        </w:tc>
      </w:tr>
      <w:tr>
        <w:trPr>
          <w:trHeight w:val="208"/>
        </w:trPr>
        <w:tc>
          <w:tcPr>
            <w:tcW w:w="6720" w:type="dxa"/>
            <w:vAlign w:val="bottom"/>
          </w:tcPr>
          <w:p>
            <w:pPr>
              <w:ind w:left="20"/>
              <w:spacing w:after="0" w:line="208" w:lineRule="exact"/>
              <w:rPr>
                <w:sz w:val="20"/>
                <w:szCs w:val="20"/>
                <w:color w:val="auto"/>
              </w:rPr>
            </w:pPr>
            <w:r>
              <w:rPr>
                <w:rFonts w:ascii="Calibri" w:cs="Calibri" w:eastAsia="Calibri" w:hAnsi="Calibri"/>
                <w:sz w:val="18"/>
                <w:szCs w:val="18"/>
                <w:color w:val="auto"/>
              </w:rPr>
              <w:t>Net loss</w:t>
            </w:r>
          </w:p>
        </w:tc>
        <w:tc>
          <w:tcPr>
            <w:tcW w:w="1280" w:type="dxa"/>
            <w:vAlign w:val="bottom"/>
          </w:tcPr>
          <w:p>
            <w:pPr>
              <w:jc w:val="right"/>
              <w:ind w:right="1096"/>
              <w:spacing w:after="0" w:line="208" w:lineRule="exact"/>
              <w:rPr>
                <w:sz w:val="20"/>
                <w:szCs w:val="20"/>
                <w:color w:val="auto"/>
              </w:rPr>
            </w:pPr>
            <w:r>
              <w:rPr>
                <w:rFonts w:ascii="Calibri" w:cs="Calibri" w:eastAsia="Calibri" w:hAnsi="Calibri"/>
                <w:sz w:val="18"/>
                <w:szCs w:val="18"/>
                <w:color w:val="auto"/>
                <w:w w:val="87"/>
              </w:rPr>
              <w:t>$</w:t>
            </w:r>
          </w:p>
        </w:tc>
        <w:tc>
          <w:tcPr>
            <w:tcW w:w="980" w:type="dxa"/>
            <w:vAlign w:val="bottom"/>
            <w:gridSpan w:val="2"/>
          </w:tcPr>
          <w:p>
            <w:pPr>
              <w:jc w:val="right"/>
              <w:ind w:right="240"/>
              <w:spacing w:after="0" w:line="208" w:lineRule="exact"/>
              <w:rPr>
                <w:sz w:val="20"/>
                <w:szCs w:val="20"/>
                <w:color w:val="auto"/>
              </w:rPr>
            </w:pPr>
            <w:r>
              <w:rPr>
                <w:rFonts w:ascii="Calibri" w:cs="Calibri" w:eastAsia="Calibri" w:hAnsi="Calibri"/>
                <w:sz w:val="18"/>
                <w:szCs w:val="18"/>
                <w:color w:val="auto"/>
              </w:rPr>
              <w:t>(2,365 )</w:t>
            </w:r>
          </w:p>
        </w:tc>
        <w:tc>
          <w:tcPr>
            <w:tcW w:w="1280" w:type="dxa"/>
            <w:vAlign w:val="bottom"/>
          </w:tcPr>
          <w:p>
            <w:pPr>
              <w:jc w:val="right"/>
              <w:ind w:right="1074"/>
              <w:spacing w:after="0" w:line="208" w:lineRule="exact"/>
              <w:rPr>
                <w:sz w:val="20"/>
                <w:szCs w:val="20"/>
                <w:color w:val="auto"/>
              </w:rPr>
            </w:pPr>
            <w:r>
              <w:rPr>
                <w:rFonts w:ascii="Calibri" w:cs="Calibri" w:eastAsia="Calibri" w:hAnsi="Calibri"/>
                <w:sz w:val="18"/>
                <w:szCs w:val="18"/>
                <w:color w:val="auto"/>
              </w:rPr>
              <w:t>$</w:t>
            </w:r>
          </w:p>
        </w:tc>
        <w:tc>
          <w:tcPr>
            <w:tcW w:w="980" w:type="dxa"/>
            <w:vAlign w:val="bottom"/>
            <w:gridSpan w:val="2"/>
          </w:tcPr>
          <w:p>
            <w:pPr>
              <w:jc w:val="right"/>
              <w:ind w:right="260"/>
              <w:spacing w:after="0" w:line="208" w:lineRule="exact"/>
              <w:rPr>
                <w:sz w:val="20"/>
                <w:szCs w:val="20"/>
                <w:color w:val="auto"/>
              </w:rPr>
            </w:pPr>
            <w:r>
              <w:rPr>
                <w:rFonts w:ascii="Calibri" w:cs="Calibri" w:eastAsia="Calibri" w:hAnsi="Calibri"/>
                <w:sz w:val="18"/>
                <w:szCs w:val="18"/>
                <w:color w:val="auto"/>
              </w:rPr>
              <w:t>(4,113 )</w:t>
            </w:r>
          </w:p>
        </w:tc>
      </w:tr>
      <w:tr>
        <w:trPr>
          <w:trHeight w:val="28"/>
        </w:trPr>
        <w:tc>
          <w:tcPr>
            <w:tcW w:w="67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r>
      <w:tr>
        <w:trPr>
          <w:trHeight w:val="20"/>
        </w:trPr>
        <w:tc>
          <w:tcPr>
            <w:tcW w:w="67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03"/>
        </w:trPr>
        <w:tc>
          <w:tcPr>
            <w:tcW w:w="6720" w:type="dxa"/>
            <w:vAlign w:val="bottom"/>
            <w:tcBorders>
              <w:bottom w:val="single" w:sz="8" w:color="CCECFF"/>
            </w:tcBorders>
            <w:shd w:val="clear" w:color="auto" w:fill="CCECFF"/>
          </w:tcPr>
          <w:p>
            <w:pPr>
              <w:ind w:left="20"/>
              <w:spacing w:after="0" w:line="196" w:lineRule="exact"/>
              <w:rPr>
                <w:sz w:val="20"/>
                <w:szCs w:val="20"/>
                <w:color w:val="auto"/>
              </w:rPr>
            </w:pPr>
            <w:r>
              <w:rPr>
                <w:rFonts w:ascii="Calibri" w:cs="Calibri" w:eastAsia="Calibri" w:hAnsi="Calibri"/>
                <w:sz w:val="18"/>
                <w:szCs w:val="18"/>
                <w:color w:val="auto"/>
              </w:rPr>
              <w:t>Net loss per share:</w:t>
            </w:r>
          </w:p>
        </w:tc>
        <w:tc>
          <w:tcPr>
            <w:tcW w:w="1280" w:type="dxa"/>
            <w:vAlign w:val="bottom"/>
            <w:tcBorders>
              <w:bottom w:val="single" w:sz="8" w:color="CCECFF"/>
            </w:tcBorders>
            <w:shd w:val="clear" w:color="auto" w:fill="CCECFF"/>
          </w:tcPr>
          <w:p>
            <w:pPr>
              <w:spacing w:after="0"/>
              <w:rPr>
                <w:sz w:val="17"/>
                <w:szCs w:val="17"/>
                <w:color w:val="auto"/>
              </w:rPr>
            </w:pPr>
          </w:p>
        </w:tc>
        <w:tc>
          <w:tcPr>
            <w:tcW w:w="680" w:type="dxa"/>
            <w:vAlign w:val="bottom"/>
            <w:tcBorders>
              <w:bottom w:val="single" w:sz="8" w:color="CCECFF"/>
            </w:tcBorders>
            <w:shd w:val="clear" w:color="auto" w:fill="CCECFF"/>
          </w:tcPr>
          <w:p>
            <w:pPr>
              <w:spacing w:after="0"/>
              <w:rPr>
                <w:sz w:val="17"/>
                <w:szCs w:val="17"/>
                <w:color w:val="auto"/>
              </w:rPr>
            </w:pPr>
          </w:p>
        </w:tc>
        <w:tc>
          <w:tcPr>
            <w:tcW w:w="300" w:type="dxa"/>
            <w:vAlign w:val="bottom"/>
            <w:tcBorders>
              <w:bottom w:val="single" w:sz="8" w:color="CCECFF"/>
            </w:tcBorders>
            <w:shd w:val="clear" w:color="auto" w:fill="CCECFF"/>
          </w:tcPr>
          <w:p>
            <w:pPr>
              <w:spacing w:after="0"/>
              <w:rPr>
                <w:sz w:val="17"/>
                <w:szCs w:val="17"/>
                <w:color w:val="auto"/>
              </w:rPr>
            </w:pPr>
          </w:p>
        </w:tc>
        <w:tc>
          <w:tcPr>
            <w:tcW w:w="1280" w:type="dxa"/>
            <w:vAlign w:val="bottom"/>
            <w:tcBorders>
              <w:bottom w:val="single" w:sz="8" w:color="CCECFF"/>
            </w:tcBorders>
            <w:shd w:val="clear" w:color="auto" w:fill="CCECFF"/>
          </w:tcPr>
          <w:p>
            <w:pPr>
              <w:spacing w:after="0"/>
              <w:rPr>
                <w:sz w:val="17"/>
                <w:szCs w:val="17"/>
                <w:color w:val="auto"/>
              </w:rPr>
            </w:pPr>
          </w:p>
        </w:tc>
        <w:tc>
          <w:tcPr>
            <w:tcW w:w="660" w:type="dxa"/>
            <w:vAlign w:val="bottom"/>
            <w:tcBorders>
              <w:bottom w:val="single" w:sz="8" w:color="CCECFF"/>
            </w:tcBorders>
            <w:shd w:val="clear" w:color="auto" w:fill="CCECFF"/>
          </w:tcPr>
          <w:p>
            <w:pPr>
              <w:spacing w:after="0"/>
              <w:rPr>
                <w:sz w:val="17"/>
                <w:szCs w:val="17"/>
                <w:color w:val="auto"/>
              </w:rPr>
            </w:pPr>
          </w:p>
        </w:tc>
        <w:tc>
          <w:tcPr>
            <w:tcW w:w="320" w:type="dxa"/>
            <w:vAlign w:val="bottom"/>
            <w:tcBorders>
              <w:bottom w:val="single" w:sz="8" w:color="CCECFF"/>
            </w:tcBorders>
            <w:shd w:val="clear" w:color="auto" w:fill="CCECFF"/>
          </w:tcPr>
          <w:p>
            <w:pPr>
              <w:spacing w:after="0"/>
              <w:rPr>
                <w:sz w:val="17"/>
                <w:szCs w:val="17"/>
                <w:color w:val="auto"/>
              </w:rPr>
            </w:pPr>
          </w:p>
        </w:tc>
      </w:tr>
      <w:tr>
        <w:trPr>
          <w:trHeight w:val="215"/>
        </w:trPr>
        <w:tc>
          <w:tcPr>
            <w:tcW w:w="6720" w:type="dxa"/>
            <w:vAlign w:val="bottom"/>
          </w:tcPr>
          <w:p>
            <w:pPr>
              <w:ind w:left="200"/>
              <w:spacing w:after="0" w:line="215" w:lineRule="exact"/>
              <w:rPr>
                <w:sz w:val="20"/>
                <w:szCs w:val="20"/>
                <w:color w:val="auto"/>
              </w:rPr>
            </w:pPr>
            <w:r>
              <w:rPr>
                <w:rFonts w:ascii="Calibri" w:cs="Calibri" w:eastAsia="Calibri" w:hAnsi="Calibri"/>
                <w:sz w:val="18"/>
                <w:szCs w:val="18"/>
                <w:color w:val="auto"/>
              </w:rPr>
              <w:t>Basic</w:t>
            </w:r>
          </w:p>
        </w:tc>
        <w:tc>
          <w:tcPr>
            <w:tcW w:w="1280" w:type="dxa"/>
            <w:vAlign w:val="bottom"/>
          </w:tcPr>
          <w:p>
            <w:pPr>
              <w:jc w:val="right"/>
              <w:ind w:right="1096"/>
              <w:spacing w:after="0" w:line="215" w:lineRule="exact"/>
              <w:rPr>
                <w:sz w:val="20"/>
                <w:szCs w:val="20"/>
                <w:color w:val="auto"/>
              </w:rPr>
            </w:pPr>
            <w:r>
              <w:rPr>
                <w:rFonts w:ascii="Calibri" w:cs="Calibri" w:eastAsia="Calibri" w:hAnsi="Calibri"/>
                <w:sz w:val="18"/>
                <w:szCs w:val="18"/>
                <w:color w:val="auto"/>
                <w:w w:val="87"/>
              </w:rPr>
              <w:t>$</w:t>
            </w:r>
          </w:p>
        </w:tc>
        <w:tc>
          <w:tcPr>
            <w:tcW w:w="980" w:type="dxa"/>
            <w:vAlign w:val="bottom"/>
            <w:gridSpan w:val="2"/>
          </w:tcPr>
          <w:p>
            <w:pPr>
              <w:jc w:val="right"/>
              <w:ind w:right="240"/>
              <w:spacing w:after="0" w:line="215" w:lineRule="exact"/>
              <w:rPr>
                <w:sz w:val="20"/>
                <w:szCs w:val="20"/>
                <w:color w:val="auto"/>
              </w:rPr>
            </w:pPr>
            <w:r>
              <w:rPr>
                <w:rFonts w:ascii="Calibri" w:cs="Calibri" w:eastAsia="Calibri" w:hAnsi="Calibri"/>
                <w:sz w:val="18"/>
                <w:szCs w:val="18"/>
                <w:color w:val="auto"/>
              </w:rPr>
              <w:t>(0.18 )</w:t>
            </w:r>
          </w:p>
        </w:tc>
        <w:tc>
          <w:tcPr>
            <w:tcW w:w="1280" w:type="dxa"/>
            <w:vAlign w:val="bottom"/>
          </w:tcPr>
          <w:p>
            <w:pPr>
              <w:jc w:val="right"/>
              <w:ind w:right="1074"/>
              <w:spacing w:after="0" w:line="215" w:lineRule="exact"/>
              <w:rPr>
                <w:sz w:val="20"/>
                <w:szCs w:val="20"/>
                <w:color w:val="auto"/>
              </w:rPr>
            </w:pPr>
            <w:r>
              <w:rPr>
                <w:rFonts w:ascii="Calibri" w:cs="Calibri" w:eastAsia="Calibri" w:hAnsi="Calibri"/>
                <w:sz w:val="18"/>
                <w:szCs w:val="18"/>
                <w:color w:val="auto"/>
              </w:rPr>
              <w:t>$</w:t>
            </w:r>
          </w:p>
        </w:tc>
        <w:tc>
          <w:tcPr>
            <w:tcW w:w="980" w:type="dxa"/>
            <w:vAlign w:val="bottom"/>
            <w:gridSpan w:val="2"/>
          </w:tcPr>
          <w:p>
            <w:pPr>
              <w:jc w:val="right"/>
              <w:ind w:right="260"/>
              <w:spacing w:after="0" w:line="215" w:lineRule="exact"/>
              <w:rPr>
                <w:sz w:val="20"/>
                <w:szCs w:val="20"/>
                <w:color w:val="auto"/>
              </w:rPr>
            </w:pPr>
            <w:r>
              <w:rPr>
                <w:rFonts w:ascii="Calibri" w:cs="Calibri" w:eastAsia="Calibri" w:hAnsi="Calibri"/>
                <w:sz w:val="18"/>
                <w:szCs w:val="18"/>
                <w:color w:val="auto"/>
              </w:rPr>
              <w:t>(0.31 )</w:t>
            </w:r>
          </w:p>
        </w:tc>
      </w:tr>
      <w:tr>
        <w:trPr>
          <w:trHeight w:val="28"/>
        </w:trPr>
        <w:tc>
          <w:tcPr>
            <w:tcW w:w="67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r>
      <w:tr>
        <w:trPr>
          <w:trHeight w:val="20"/>
        </w:trPr>
        <w:tc>
          <w:tcPr>
            <w:tcW w:w="67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69"/>
        </w:trPr>
        <w:tc>
          <w:tcPr>
            <w:tcW w:w="6720" w:type="dxa"/>
            <w:vAlign w:val="bottom"/>
            <w:tcBorders>
              <w:bottom w:val="single" w:sz="8" w:color="CCECFF"/>
            </w:tcBorders>
            <w:shd w:val="clear" w:color="auto" w:fill="CCECFF"/>
          </w:tcPr>
          <w:p>
            <w:pPr>
              <w:ind w:left="200"/>
              <w:spacing w:after="0" w:line="196" w:lineRule="exact"/>
              <w:rPr>
                <w:sz w:val="20"/>
                <w:szCs w:val="20"/>
                <w:color w:val="auto"/>
              </w:rPr>
            </w:pPr>
            <w:r>
              <w:rPr>
                <w:rFonts w:ascii="Calibri" w:cs="Calibri" w:eastAsia="Calibri" w:hAnsi="Calibri"/>
                <w:sz w:val="18"/>
                <w:szCs w:val="18"/>
                <w:color w:val="auto"/>
              </w:rPr>
              <w:t>Diluted</w:t>
            </w:r>
          </w:p>
        </w:tc>
        <w:tc>
          <w:tcPr>
            <w:tcW w:w="1280" w:type="dxa"/>
            <w:vAlign w:val="bottom"/>
            <w:tcBorders>
              <w:bottom w:val="single" w:sz="8" w:color="CCECFF"/>
            </w:tcBorders>
            <w:shd w:val="clear" w:color="auto" w:fill="CCECFF"/>
          </w:tcPr>
          <w:p>
            <w:pPr>
              <w:jc w:val="right"/>
              <w:ind w:right="1096"/>
              <w:spacing w:after="0" w:line="196" w:lineRule="exact"/>
              <w:rPr>
                <w:sz w:val="20"/>
                <w:szCs w:val="20"/>
                <w:color w:val="auto"/>
              </w:rPr>
            </w:pPr>
            <w:r>
              <w:rPr>
                <w:rFonts w:ascii="Calibri" w:cs="Calibri" w:eastAsia="Calibri" w:hAnsi="Calibri"/>
                <w:sz w:val="18"/>
                <w:szCs w:val="18"/>
                <w:color w:val="auto"/>
                <w:w w:val="87"/>
              </w:rPr>
              <w:t>$</w:t>
            </w:r>
          </w:p>
        </w:tc>
        <w:tc>
          <w:tcPr>
            <w:tcW w:w="980" w:type="dxa"/>
            <w:vAlign w:val="bottom"/>
            <w:tcBorders>
              <w:bottom w:val="single" w:sz="8" w:color="CCECFF"/>
            </w:tcBorders>
            <w:gridSpan w:val="2"/>
            <w:shd w:val="clear" w:color="auto" w:fill="CCECFF"/>
          </w:tcPr>
          <w:p>
            <w:pPr>
              <w:jc w:val="right"/>
              <w:ind w:right="240"/>
              <w:spacing w:after="0" w:line="196" w:lineRule="exact"/>
              <w:rPr>
                <w:sz w:val="20"/>
                <w:szCs w:val="20"/>
                <w:color w:val="auto"/>
              </w:rPr>
            </w:pPr>
            <w:r>
              <w:rPr>
                <w:rFonts w:ascii="Calibri" w:cs="Calibri" w:eastAsia="Calibri" w:hAnsi="Calibri"/>
                <w:sz w:val="18"/>
                <w:szCs w:val="18"/>
                <w:color w:val="auto"/>
              </w:rPr>
              <w:t>(0.18 )</w:t>
            </w:r>
          </w:p>
        </w:tc>
        <w:tc>
          <w:tcPr>
            <w:tcW w:w="1280" w:type="dxa"/>
            <w:vAlign w:val="bottom"/>
            <w:tcBorders>
              <w:bottom w:val="single" w:sz="8" w:color="CCECFF"/>
            </w:tcBorders>
            <w:shd w:val="clear" w:color="auto" w:fill="CCECFF"/>
          </w:tcPr>
          <w:p>
            <w:pPr>
              <w:jc w:val="right"/>
              <w:ind w:right="1074"/>
              <w:spacing w:after="0" w:line="196" w:lineRule="exact"/>
              <w:rPr>
                <w:sz w:val="20"/>
                <w:szCs w:val="20"/>
                <w:color w:val="auto"/>
              </w:rPr>
            </w:pPr>
            <w:r>
              <w:rPr>
                <w:rFonts w:ascii="Calibri" w:cs="Calibri" w:eastAsia="Calibri" w:hAnsi="Calibri"/>
                <w:sz w:val="18"/>
                <w:szCs w:val="18"/>
                <w:color w:val="auto"/>
              </w:rPr>
              <w:t>$</w:t>
            </w:r>
          </w:p>
        </w:tc>
        <w:tc>
          <w:tcPr>
            <w:tcW w:w="980" w:type="dxa"/>
            <w:vAlign w:val="bottom"/>
            <w:tcBorders>
              <w:bottom w:val="single" w:sz="8" w:color="CCECFF"/>
            </w:tcBorders>
            <w:gridSpan w:val="2"/>
            <w:shd w:val="clear" w:color="auto" w:fill="CCECFF"/>
          </w:tcPr>
          <w:p>
            <w:pPr>
              <w:jc w:val="right"/>
              <w:ind w:right="260"/>
              <w:spacing w:after="0" w:line="196" w:lineRule="exact"/>
              <w:rPr>
                <w:sz w:val="20"/>
                <w:szCs w:val="20"/>
                <w:color w:val="auto"/>
              </w:rPr>
            </w:pPr>
            <w:r>
              <w:rPr>
                <w:rFonts w:ascii="Calibri" w:cs="Calibri" w:eastAsia="Calibri" w:hAnsi="Calibri"/>
                <w:sz w:val="18"/>
                <w:szCs w:val="18"/>
                <w:color w:val="auto"/>
              </w:rPr>
              <w:t>(0.31 )</w:t>
            </w:r>
          </w:p>
        </w:tc>
      </w:tr>
      <w:tr>
        <w:trPr>
          <w:trHeight w:val="1432"/>
        </w:trPr>
        <w:tc>
          <w:tcPr>
            <w:tcW w:w="6720" w:type="dxa"/>
            <w:vAlign w:val="bottom"/>
            <w:tcBorders>
              <w:top w:val="single" w:sz="8" w:color="CCECFF"/>
              <w:bottom w:val="single" w:sz="8" w:color="9A9A9A"/>
            </w:tcBorders>
          </w:tcPr>
          <w:p>
            <w:pPr>
              <w:spacing w:after="0"/>
              <w:rPr>
                <w:sz w:val="24"/>
                <w:szCs w:val="24"/>
                <w:color w:val="auto"/>
              </w:rPr>
            </w:pPr>
          </w:p>
        </w:tc>
        <w:tc>
          <w:tcPr>
            <w:tcW w:w="1280" w:type="dxa"/>
            <w:vAlign w:val="bottom"/>
            <w:tcBorders>
              <w:top w:val="single" w:sz="8" w:color="auto"/>
              <w:bottom w:val="single" w:sz="8" w:color="9A9A9A"/>
            </w:tcBorders>
          </w:tcPr>
          <w:p>
            <w:pPr>
              <w:spacing w:after="0"/>
              <w:rPr>
                <w:sz w:val="24"/>
                <w:szCs w:val="24"/>
                <w:color w:val="auto"/>
              </w:rPr>
            </w:pPr>
          </w:p>
        </w:tc>
        <w:tc>
          <w:tcPr>
            <w:tcW w:w="680" w:type="dxa"/>
            <w:vAlign w:val="bottom"/>
            <w:tcBorders>
              <w:top w:val="single" w:sz="8" w:color="auto"/>
              <w:bottom w:val="single" w:sz="8" w:color="9A9A9A"/>
            </w:tcBorders>
          </w:tcPr>
          <w:p>
            <w:pPr>
              <w:spacing w:after="0"/>
              <w:rPr>
                <w:sz w:val="24"/>
                <w:szCs w:val="24"/>
                <w:color w:val="auto"/>
              </w:rPr>
            </w:pPr>
          </w:p>
        </w:tc>
        <w:tc>
          <w:tcPr>
            <w:tcW w:w="300" w:type="dxa"/>
            <w:vAlign w:val="bottom"/>
            <w:tcBorders>
              <w:top w:val="single" w:sz="8" w:color="CCECFF"/>
              <w:bottom w:val="single" w:sz="8" w:color="9A9A9A"/>
            </w:tcBorders>
          </w:tcPr>
          <w:p>
            <w:pPr>
              <w:spacing w:after="0"/>
              <w:rPr>
                <w:sz w:val="24"/>
                <w:szCs w:val="24"/>
                <w:color w:val="auto"/>
              </w:rPr>
            </w:pPr>
          </w:p>
        </w:tc>
        <w:tc>
          <w:tcPr>
            <w:tcW w:w="1280" w:type="dxa"/>
            <w:vAlign w:val="bottom"/>
            <w:tcBorders>
              <w:top w:val="single" w:sz="8" w:color="auto"/>
              <w:bottom w:val="single" w:sz="8" w:color="9A9A9A"/>
            </w:tcBorders>
          </w:tcPr>
          <w:p>
            <w:pPr>
              <w:spacing w:after="0"/>
              <w:rPr>
                <w:sz w:val="24"/>
                <w:szCs w:val="24"/>
                <w:color w:val="auto"/>
              </w:rPr>
            </w:pPr>
          </w:p>
        </w:tc>
        <w:tc>
          <w:tcPr>
            <w:tcW w:w="660" w:type="dxa"/>
            <w:vAlign w:val="bottom"/>
            <w:tcBorders>
              <w:top w:val="single" w:sz="8" w:color="auto"/>
              <w:bottom w:val="single" w:sz="8" w:color="9A9A9A"/>
            </w:tcBorders>
          </w:tcPr>
          <w:p>
            <w:pPr>
              <w:spacing w:after="0"/>
              <w:rPr>
                <w:sz w:val="24"/>
                <w:szCs w:val="24"/>
                <w:color w:val="auto"/>
              </w:rPr>
            </w:pPr>
          </w:p>
        </w:tc>
        <w:tc>
          <w:tcPr>
            <w:tcW w:w="320" w:type="dxa"/>
            <w:vAlign w:val="bottom"/>
            <w:tcBorders>
              <w:top w:val="single" w:sz="8" w:color="CCECFF"/>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-3539490</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-3539490</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5495925</wp:posOffset>
            </wp:positionH>
            <wp:positionV relativeFrom="paragraph">
              <wp:posOffset>-2926715</wp:posOffset>
            </wp:positionV>
            <wp:extent cx="93980" cy="1968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6918960</wp:posOffset>
            </wp:positionH>
            <wp:positionV relativeFrom="paragraph">
              <wp:posOffset>-2926715</wp:posOffset>
            </wp:positionV>
            <wp:extent cx="93980" cy="1968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-2588260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-2588260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-1953895</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-1953895</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-1636395</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-1636395</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-959485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-942340</wp:posOffset>
            </wp:positionV>
            <wp:extent cx="685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-959485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-942340</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9" w:name="page10"/>
    <w:bookmarkEnd w:id="9"/>
    <w:p>
      <w:pPr>
        <w:jc w:val="right"/>
        <w:ind w:right="20"/>
        <w:spacing w:after="0"/>
        <w:rPr>
          <w:sz w:val="20"/>
          <w:szCs w:val="20"/>
          <w:color w:val="auto"/>
        </w:rPr>
      </w:pPr>
      <w:r>
        <w:rPr>
          <w:rFonts w:ascii="Calibri" w:cs="Calibri" w:eastAsia="Calibri" w:hAnsi="Calibri"/>
          <w:sz w:val="20"/>
          <w:szCs w:val="20"/>
          <w:color w:val="auto"/>
        </w:rPr>
        <w:t>1800 N Route 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-132715</wp:posOffset>
            </wp:positionV>
            <wp:extent cx="3145790" cy="5143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145790" cy="514350"/>
                    </a:xfrm>
                    <a:prstGeom prst="rect">
                      <a:avLst/>
                    </a:prstGeom>
                    <a:noFill/>
                  </pic:spPr>
                </pic:pic>
              </a:graphicData>
            </a:graphic>
          </wp:anchor>
        </w:drawing>
      </w:r>
    </w:p>
    <w:p>
      <w:pPr>
        <w:jc w:val="right"/>
        <w:ind w:right="20"/>
        <w:spacing w:after="0"/>
        <w:rPr>
          <w:sz w:val="20"/>
          <w:szCs w:val="20"/>
          <w:color w:val="auto"/>
        </w:rPr>
      </w:pPr>
      <w:r>
        <w:rPr>
          <w:rFonts w:ascii="Calibri" w:cs="Calibri" w:eastAsia="Calibri" w:hAnsi="Calibri"/>
          <w:sz w:val="20"/>
          <w:szCs w:val="20"/>
          <w:color w:val="auto"/>
        </w:rPr>
        <w:t>Columbia, MO 65202</w:t>
      </w:r>
    </w:p>
    <w:p>
      <w:pPr>
        <w:spacing w:after="0" w:line="12" w:lineRule="exact"/>
        <w:rPr>
          <w:sz w:val="20"/>
          <w:szCs w:val="20"/>
          <w:color w:val="auto"/>
        </w:rPr>
      </w:pPr>
    </w:p>
    <w:p>
      <w:pPr>
        <w:jc w:val="right"/>
        <w:ind w:right="20"/>
        <w:spacing w:after="0"/>
        <w:rPr>
          <w:sz w:val="20"/>
          <w:szCs w:val="20"/>
          <w:color w:val="auto"/>
        </w:rPr>
      </w:pPr>
      <w:r>
        <w:rPr>
          <w:rFonts w:ascii="Calibri" w:cs="Calibri" w:eastAsia="Calibri" w:hAnsi="Calibri"/>
          <w:sz w:val="20"/>
          <w:szCs w:val="20"/>
          <w:color w:val="auto"/>
        </w:rPr>
        <w:t>(800) 338-9585</w:t>
      </w:r>
    </w:p>
    <w:p>
      <w:pPr>
        <w:spacing w:after="0" w:line="12" w:lineRule="exact"/>
        <w:rPr>
          <w:sz w:val="20"/>
          <w:szCs w:val="20"/>
          <w:color w:val="auto"/>
        </w:rPr>
      </w:pPr>
    </w:p>
    <w:p>
      <w:pPr>
        <w:jc w:val="right"/>
        <w:ind w:right="20"/>
        <w:spacing w:after="0"/>
        <w:rPr>
          <w:sz w:val="20"/>
          <w:szCs w:val="20"/>
          <w:color w:val="auto"/>
        </w:rPr>
      </w:pPr>
      <w:r>
        <w:rPr>
          <w:rFonts w:ascii="Calibri" w:cs="Calibri" w:eastAsia="Calibri" w:hAnsi="Calibri"/>
          <w:sz w:val="20"/>
          <w:szCs w:val="20"/>
          <w:color w:val="auto"/>
        </w:rPr>
        <w:t>NASDAQ: AOUT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00"/>
        <w:spacing w:after="0"/>
        <w:rPr>
          <w:sz w:val="20"/>
          <w:szCs w:val="20"/>
          <w:color w:val="auto"/>
        </w:rPr>
      </w:pPr>
      <w:r>
        <w:rPr>
          <w:rFonts w:ascii="Calibri" w:cs="Calibri" w:eastAsia="Calibri" w:hAnsi="Calibri"/>
          <w:sz w:val="18"/>
          <w:szCs w:val="18"/>
          <w:b w:val="1"/>
          <w:bCs w:val="1"/>
          <w:color w:val="auto"/>
        </w:rPr>
        <w:t>AMERICAN OUTDOOR BRANDS, INC. AND SUBSIDIARIES</w:t>
      </w:r>
    </w:p>
    <w:p>
      <w:pPr>
        <w:spacing w:after="0" w:line="23" w:lineRule="exact"/>
        <w:rPr>
          <w:sz w:val="20"/>
          <w:szCs w:val="20"/>
          <w:color w:val="auto"/>
        </w:rPr>
      </w:pPr>
    </w:p>
    <w:p>
      <w:pPr>
        <w:jc w:val="center"/>
        <w:ind w:right="100"/>
        <w:spacing w:after="0"/>
        <w:rPr>
          <w:sz w:val="20"/>
          <w:szCs w:val="20"/>
          <w:color w:val="auto"/>
        </w:rPr>
      </w:pPr>
      <w:r>
        <w:rPr>
          <w:rFonts w:ascii="Calibri" w:cs="Calibri" w:eastAsia="Calibri" w:hAnsi="Calibri"/>
          <w:sz w:val="18"/>
          <w:szCs w:val="18"/>
          <w:b w:val="1"/>
          <w:bCs w:val="1"/>
          <w:color w:val="auto"/>
        </w:rPr>
        <w:t>CONSOLIDATED STATEMENTS OF CASH FLOWS</w:t>
      </w:r>
    </w:p>
    <w:p>
      <w:pPr>
        <w:spacing w:after="0" w:line="23" w:lineRule="exact"/>
        <w:rPr>
          <w:sz w:val="20"/>
          <w:szCs w:val="20"/>
          <w:color w:val="auto"/>
        </w:rPr>
      </w:pPr>
    </w:p>
    <w:p>
      <w:pPr>
        <w:jc w:val="center"/>
        <w:ind w:right="100"/>
        <w:spacing w:after="0"/>
        <w:rPr>
          <w:sz w:val="20"/>
          <w:szCs w:val="20"/>
          <w:color w:val="auto"/>
        </w:rPr>
      </w:pPr>
      <w:r>
        <w:rPr>
          <w:rFonts w:ascii="Calibri" w:cs="Calibri" w:eastAsia="Calibri" w:hAnsi="Calibri"/>
          <w:sz w:val="18"/>
          <w:szCs w:val="18"/>
          <w:b w:val="1"/>
          <w:bCs w:val="1"/>
          <w:color w:val="auto"/>
        </w:rPr>
        <w:t>(Unaudited)</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60" w:type="dxa"/>
            <w:vAlign w:val="bottom"/>
          </w:tcPr>
          <w:p>
            <w:pPr>
              <w:spacing w:after="0"/>
              <w:rPr>
                <w:sz w:val="14"/>
                <w:szCs w:val="14"/>
                <w:color w:val="auto"/>
              </w:rPr>
            </w:pPr>
          </w:p>
        </w:tc>
        <w:tc>
          <w:tcPr>
            <w:tcW w:w="3080" w:type="dxa"/>
            <w:vAlign w:val="bottom"/>
            <w:gridSpan w:val="4"/>
          </w:tcPr>
          <w:p>
            <w:pPr>
              <w:jc w:val="right"/>
              <w:ind w:right="72"/>
              <w:spacing w:after="0"/>
              <w:rPr>
                <w:sz w:val="20"/>
                <w:szCs w:val="20"/>
                <w:color w:val="auto"/>
              </w:rPr>
            </w:pPr>
            <w:r>
              <w:rPr>
                <w:rFonts w:ascii="Calibri" w:cs="Calibri" w:eastAsia="Calibri" w:hAnsi="Calibri"/>
                <w:sz w:val="14"/>
                <w:szCs w:val="14"/>
                <w:b w:val="1"/>
                <w:bCs w:val="1"/>
                <w:color w:val="auto"/>
              </w:rPr>
              <w:t>For the Three Months Ended July 31,</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3"/>
        </w:trPr>
        <w:tc>
          <w:tcPr>
            <w:tcW w:w="74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87"/>
        </w:trPr>
        <w:tc>
          <w:tcPr>
            <w:tcW w:w="7460" w:type="dxa"/>
            <w:vAlign w:val="bottom"/>
          </w:tcPr>
          <w:p>
            <w:pPr>
              <w:spacing w:after="0"/>
              <w:rPr>
                <w:sz w:val="16"/>
                <w:szCs w:val="16"/>
                <w:color w:val="auto"/>
              </w:rPr>
            </w:pPr>
          </w:p>
        </w:tc>
        <w:tc>
          <w:tcPr>
            <w:tcW w:w="1080" w:type="dxa"/>
            <w:vAlign w:val="bottom"/>
          </w:tcPr>
          <w:p>
            <w:pPr>
              <w:jc w:val="right"/>
              <w:spacing w:after="0" w:line="187" w:lineRule="exact"/>
              <w:rPr>
                <w:sz w:val="20"/>
                <w:szCs w:val="20"/>
                <w:color w:val="auto"/>
              </w:rPr>
            </w:pPr>
            <w:r>
              <w:rPr>
                <w:rFonts w:ascii="Calibri" w:cs="Calibri" w:eastAsia="Calibri" w:hAnsi="Calibri"/>
                <w:sz w:val="16"/>
                <w:szCs w:val="16"/>
                <w:b w:val="1"/>
                <w:bCs w:val="1"/>
                <w:color w:val="auto"/>
              </w:rPr>
              <w:t>2024</w:t>
            </w: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spacing w:after="0" w:line="187" w:lineRule="exact"/>
              <w:rPr>
                <w:sz w:val="20"/>
                <w:szCs w:val="20"/>
                <w:color w:val="auto"/>
              </w:rPr>
            </w:pPr>
            <w:r>
              <w:rPr>
                <w:rFonts w:ascii="Calibri" w:cs="Calibri" w:eastAsia="Calibri" w:hAnsi="Calibri"/>
                <w:sz w:val="16"/>
                <w:szCs w:val="16"/>
                <w:b w:val="1"/>
                <w:bCs w:val="1"/>
                <w:color w:val="auto"/>
              </w:rPr>
              <w:t>2023</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6"/>
        </w:trPr>
        <w:tc>
          <w:tcPr>
            <w:tcW w:w="746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187"/>
        </w:trPr>
        <w:tc>
          <w:tcPr>
            <w:tcW w:w="74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20" w:type="dxa"/>
            <w:vAlign w:val="bottom"/>
          </w:tcPr>
          <w:p>
            <w:pPr>
              <w:jc w:val="right"/>
              <w:ind w:right="70"/>
              <w:spacing w:after="0" w:line="187" w:lineRule="exact"/>
              <w:rPr>
                <w:sz w:val="20"/>
                <w:szCs w:val="20"/>
                <w:color w:val="auto"/>
              </w:rPr>
            </w:pPr>
            <w:r>
              <w:rPr>
                <w:rFonts w:ascii="Calibri" w:cs="Calibri" w:eastAsia="Calibri" w:hAnsi="Calibri"/>
                <w:sz w:val="16"/>
                <w:szCs w:val="16"/>
                <w:color w:val="auto"/>
              </w:rPr>
              <w:t>(In</w:t>
            </w:r>
          </w:p>
        </w:tc>
        <w:tc>
          <w:tcPr>
            <w:tcW w:w="1380" w:type="dxa"/>
            <w:vAlign w:val="bottom"/>
            <w:gridSpan w:val="2"/>
          </w:tcPr>
          <w:p>
            <w:pPr>
              <w:jc w:val="right"/>
              <w:ind w:right="692"/>
              <w:spacing w:after="0" w:line="187" w:lineRule="exact"/>
              <w:rPr>
                <w:sz w:val="20"/>
                <w:szCs w:val="20"/>
                <w:color w:val="auto"/>
              </w:rPr>
            </w:pPr>
            <w:r>
              <w:rPr>
                <w:rFonts w:ascii="Calibri" w:cs="Calibri" w:eastAsia="Calibri" w:hAnsi="Calibri"/>
                <w:sz w:val="16"/>
                <w:szCs w:val="16"/>
                <w:color w:val="auto"/>
                <w:w w:val="80"/>
              </w:rPr>
              <w:t>thousands)</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6"/>
        </w:trPr>
        <w:tc>
          <w:tcPr>
            <w:tcW w:w="74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23"/>
        </w:trPr>
        <w:tc>
          <w:tcPr>
            <w:tcW w:w="7460" w:type="dxa"/>
            <w:vAlign w:val="bottom"/>
            <w:tcBorders>
              <w:bottom w:val="single" w:sz="8" w:color="CCECFF"/>
            </w:tcBorders>
            <w:shd w:val="clear" w:color="auto" w:fill="CCECFF"/>
          </w:tcPr>
          <w:p>
            <w:pPr>
              <w:ind w:left="20"/>
              <w:spacing w:after="0" w:line="215" w:lineRule="exact"/>
              <w:rPr>
                <w:sz w:val="20"/>
                <w:szCs w:val="20"/>
                <w:color w:val="auto"/>
              </w:rPr>
            </w:pPr>
            <w:r>
              <w:rPr>
                <w:rFonts w:ascii="Calibri" w:cs="Calibri" w:eastAsia="Calibri" w:hAnsi="Calibri"/>
                <w:sz w:val="18"/>
                <w:szCs w:val="18"/>
                <w:color w:val="auto"/>
              </w:rPr>
              <w:t>Cash fows from operatng actvites:</w:t>
            </w:r>
          </w:p>
        </w:tc>
        <w:tc>
          <w:tcPr>
            <w:tcW w:w="1080" w:type="dxa"/>
            <w:vAlign w:val="bottom"/>
            <w:tcBorders>
              <w:bottom w:val="single" w:sz="8" w:color="CCECFF"/>
            </w:tcBorders>
            <w:shd w:val="clear" w:color="auto" w:fill="CCECFF"/>
          </w:tcPr>
          <w:p>
            <w:pPr>
              <w:spacing w:after="0"/>
              <w:rPr>
                <w:sz w:val="19"/>
                <w:szCs w:val="19"/>
                <w:color w:val="auto"/>
              </w:rPr>
            </w:pPr>
          </w:p>
        </w:tc>
        <w:tc>
          <w:tcPr>
            <w:tcW w:w="620" w:type="dxa"/>
            <w:vAlign w:val="bottom"/>
            <w:tcBorders>
              <w:bottom w:val="single" w:sz="8" w:color="CCECFF"/>
            </w:tcBorders>
            <w:shd w:val="clear" w:color="auto" w:fill="CCECFF"/>
          </w:tcPr>
          <w:p>
            <w:pPr>
              <w:spacing w:after="0"/>
              <w:rPr>
                <w:sz w:val="19"/>
                <w:szCs w:val="19"/>
                <w:color w:val="auto"/>
              </w:rPr>
            </w:pPr>
          </w:p>
        </w:tc>
        <w:tc>
          <w:tcPr>
            <w:tcW w:w="300" w:type="dxa"/>
            <w:vAlign w:val="bottom"/>
            <w:tcBorders>
              <w:bottom w:val="single" w:sz="8" w:color="CCECFF"/>
            </w:tcBorders>
            <w:shd w:val="clear" w:color="auto" w:fill="CCECFF"/>
          </w:tcPr>
          <w:p>
            <w:pPr>
              <w:spacing w:after="0"/>
              <w:rPr>
                <w:sz w:val="19"/>
                <w:szCs w:val="19"/>
                <w:color w:val="auto"/>
              </w:rPr>
            </w:pPr>
          </w:p>
        </w:tc>
        <w:tc>
          <w:tcPr>
            <w:tcW w:w="1080" w:type="dxa"/>
            <w:vAlign w:val="bottom"/>
            <w:tcBorders>
              <w:bottom w:val="single" w:sz="8" w:color="CCECFF"/>
            </w:tcBorders>
            <w:shd w:val="clear" w:color="auto" w:fill="CCECFF"/>
          </w:tcPr>
          <w:p>
            <w:pPr>
              <w:spacing w:after="0"/>
              <w:rPr>
                <w:sz w:val="19"/>
                <w:szCs w:val="19"/>
                <w:color w:val="auto"/>
              </w:rPr>
            </w:pPr>
          </w:p>
        </w:tc>
        <w:tc>
          <w:tcPr>
            <w:tcW w:w="600" w:type="dxa"/>
            <w:vAlign w:val="bottom"/>
            <w:tcBorders>
              <w:bottom w:val="single" w:sz="8" w:color="CCECFF"/>
            </w:tcBorders>
            <w:shd w:val="clear" w:color="auto" w:fill="CCECFF"/>
          </w:tcPr>
          <w:p>
            <w:pPr>
              <w:spacing w:after="0"/>
              <w:rPr>
                <w:sz w:val="19"/>
                <w:szCs w:val="19"/>
                <w:color w:val="auto"/>
              </w:rPr>
            </w:pPr>
          </w:p>
        </w:tc>
        <w:tc>
          <w:tcPr>
            <w:tcW w:w="100" w:type="dxa"/>
            <w:vAlign w:val="bottom"/>
            <w:tcBorders>
              <w:bottom w:val="single" w:sz="8" w:color="CCECFF"/>
            </w:tcBorders>
            <w:shd w:val="clear" w:color="auto" w:fill="CCECFF"/>
          </w:tcPr>
          <w:p>
            <w:pPr>
              <w:spacing w:after="0"/>
              <w:rPr>
                <w:sz w:val="19"/>
                <w:szCs w:val="19"/>
                <w:color w:val="auto"/>
              </w:rPr>
            </w:pPr>
          </w:p>
        </w:tc>
      </w:tr>
      <w:tr>
        <w:trPr>
          <w:trHeight w:val="215"/>
        </w:trPr>
        <w:tc>
          <w:tcPr>
            <w:tcW w:w="7460" w:type="dxa"/>
            <w:vAlign w:val="bottom"/>
          </w:tcPr>
          <w:p>
            <w:pPr>
              <w:ind w:left="200"/>
              <w:spacing w:after="0" w:line="215" w:lineRule="exact"/>
              <w:rPr>
                <w:sz w:val="20"/>
                <w:szCs w:val="20"/>
                <w:color w:val="auto"/>
              </w:rPr>
            </w:pPr>
            <w:r>
              <w:rPr>
                <w:rFonts w:ascii="Calibri" w:cs="Calibri" w:eastAsia="Calibri" w:hAnsi="Calibri"/>
                <w:sz w:val="18"/>
                <w:szCs w:val="18"/>
                <w:color w:val="auto"/>
              </w:rPr>
              <w:t>Net loss</w:t>
            </w:r>
          </w:p>
        </w:tc>
        <w:tc>
          <w:tcPr>
            <w:tcW w:w="1080" w:type="dxa"/>
            <w:vAlign w:val="bottom"/>
          </w:tcPr>
          <w:p>
            <w:pPr>
              <w:jc w:val="right"/>
              <w:ind w:right="895"/>
              <w:spacing w:after="0" w:line="215" w:lineRule="exact"/>
              <w:rPr>
                <w:sz w:val="20"/>
                <w:szCs w:val="20"/>
                <w:color w:val="auto"/>
              </w:rPr>
            </w:pPr>
            <w:r>
              <w:rPr>
                <w:rFonts w:ascii="Calibri" w:cs="Calibri" w:eastAsia="Calibri" w:hAnsi="Calibri"/>
                <w:sz w:val="18"/>
                <w:szCs w:val="18"/>
                <w:color w:val="auto"/>
                <w:w w:val="87"/>
              </w:rPr>
              <w:t>$</w:t>
            </w:r>
          </w:p>
        </w:tc>
        <w:tc>
          <w:tcPr>
            <w:tcW w:w="920" w:type="dxa"/>
            <w:vAlign w:val="bottom"/>
            <w:gridSpan w:val="2"/>
          </w:tcPr>
          <w:p>
            <w:pPr>
              <w:jc w:val="right"/>
              <w:ind w:right="159"/>
              <w:spacing w:after="0" w:line="215" w:lineRule="exact"/>
              <w:rPr>
                <w:sz w:val="20"/>
                <w:szCs w:val="20"/>
                <w:color w:val="auto"/>
              </w:rPr>
            </w:pPr>
            <w:r>
              <w:rPr>
                <w:rFonts w:ascii="Calibri" w:cs="Calibri" w:eastAsia="Calibri" w:hAnsi="Calibri"/>
                <w:sz w:val="18"/>
                <w:szCs w:val="18"/>
                <w:color w:val="auto"/>
              </w:rPr>
              <w:t>(2,365 )</w:t>
            </w:r>
          </w:p>
        </w:tc>
        <w:tc>
          <w:tcPr>
            <w:tcW w:w="1080" w:type="dxa"/>
            <w:vAlign w:val="bottom"/>
          </w:tcPr>
          <w:p>
            <w:pPr>
              <w:jc w:val="right"/>
              <w:ind w:right="892"/>
              <w:spacing w:after="0" w:line="215" w:lineRule="exact"/>
              <w:rPr>
                <w:sz w:val="20"/>
                <w:szCs w:val="20"/>
                <w:color w:val="auto"/>
              </w:rPr>
            </w:pPr>
            <w:r>
              <w:rPr>
                <w:rFonts w:ascii="Calibri" w:cs="Calibri" w:eastAsia="Calibri" w:hAnsi="Calibri"/>
                <w:sz w:val="18"/>
                <w:szCs w:val="18"/>
                <w:color w:val="auto"/>
                <w:w w:val="87"/>
              </w:rPr>
              <w:t>$</w:t>
            </w:r>
          </w:p>
        </w:tc>
        <w:tc>
          <w:tcPr>
            <w:tcW w:w="70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(4,113 )</w:t>
            </w:r>
          </w:p>
        </w:tc>
      </w:tr>
      <w:tr>
        <w:trPr>
          <w:trHeight w:val="28"/>
        </w:trPr>
        <w:tc>
          <w:tcPr>
            <w:tcW w:w="74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07"/>
        </w:trPr>
        <w:tc>
          <w:tcPr>
            <w:tcW w:w="7460" w:type="dxa"/>
            <w:vAlign w:val="bottom"/>
            <w:shd w:val="clear" w:color="auto" w:fill="CCECFF"/>
          </w:tcPr>
          <w:p>
            <w:pPr>
              <w:ind w:left="200"/>
              <w:spacing w:after="0" w:line="207" w:lineRule="exact"/>
              <w:rPr>
                <w:sz w:val="20"/>
                <w:szCs w:val="20"/>
                <w:color w:val="auto"/>
              </w:rPr>
            </w:pPr>
            <w:r>
              <w:rPr>
                <w:rFonts w:ascii="Calibri" w:cs="Calibri" w:eastAsia="Calibri" w:hAnsi="Calibri"/>
                <w:sz w:val="18"/>
                <w:szCs w:val="18"/>
                <w:color w:val="auto"/>
              </w:rPr>
              <w:t>Adjustments to reconcile net loss to net cash provided by</w:t>
            </w:r>
          </w:p>
        </w:tc>
        <w:tc>
          <w:tcPr>
            <w:tcW w:w="1080" w:type="dxa"/>
            <w:vAlign w:val="bottom"/>
            <w:shd w:val="clear" w:color="auto" w:fill="CCECFF"/>
          </w:tcPr>
          <w:p>
            <w:pPr>
              <w:spacing w:after="0"/>
              <w:rPr>
                <w:sz w:val="18"/>
                <w:szCs w:val="18"/>
                <w:color w:val="auto"/>
              </w:rPr>
            </w:pPr>
          </w:p>
        </w:tc>
        <w:tc>
          <w:tcPr>
            <w:tcW w:w="620" w:type="dxa"/>
            <w:vAlign w:val="bottom"/>
            <w:shd w:val="clear" w:color="auto" w:fill="CCECFF"/>
          </w:tcPr>
          <w:p>
            <w:pPr>
              <w:spacing w:after="0"/>
              <w:rPr>
                <w:sz w:val="18"/>
                <w:szCs w:val="18"/>
                <w:color w:val="auto"/>
              </w:rPr>
            </w:pPr>
          </w:p>
        </w:tc>
        <w:tc>
          <w:tcPr>
            <w:tcW w:w="300" w:type="dxa"/>
            <w:vAlign w:val="bottom"/>
            <w:shd w:val="clear" w:color="auto" w:fill="CCECFF"/>
          </w:tcPr>
          <w:p>
            <w:pPr>
              <w:spacing w:after="0"/>
              <w:rPr>
                <w:sz w:val="18"/>
                <w:szCs w:val="18"/>
                <w:color w:val="auto"/>
              </w:rPr>
            </w:pPr>
          </w:p>
        </w:tc>
        <w:tc>
          <w:tcPr>
            <w:tcW w:w="1080" w:type="dxa"/>
            <w:vAlign w:val="bottom"/>
            <w:shd w:val="clear" w:color="auto" w:fill="CCECFF"/>
          </w:tcPr>
          <w:p>
            <w:pPr>
              <w:spacing w:after="0"/>
              <w:rPr>
                <w:sz w:val="18"/>
                <w:szCs w:val="18"/>
                <w:color w:val="auto"/>
              </w:rPr>
            </w:pPr>
          </w:p>
        </w:tc>
        <w:tc>
          <w:tcPr>
            <w:tcW w:w="60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r>
      <w:tr>
        <w:trPr>
          <w:trHeight w:val="232"/>
        </w:trPr>
        <w:tc>
          <w:tcPr>
            <w:tcW w:w="7460" w:type="dxa"/>
            <w:vAlign w:val="bottom"/>
            <w:tcBorders>
              <w:bottom w:val="single" w:sz="8" w:color="CCECFF"/>
            </w:tcBorders>
            <w:shd w:val="clear" w:color="auto" w:fill="CCECFF"/>
          </w:tcPr>
          <w:p>
            <w:pPr>
              <w:ind w:left="320"/>
              <w:spacing w:after="0" w:line="215" w:lineRule="exact"/>
              <w:rPr>
                <w:sz w:val="20"/>
                <w:szCs w:val="20"/>
                <w:color w:val="auto"/>
              </w:rPr>
            </w:pPr>
            <w:r>
              <w:rPr>
                <w:rFonts w:ascii="Calibri" w:cs="Calibri" w:eastAsia="Calibri" w:hAnsi="Calibri"/>
                <w:sz w:val="18"/>
                <w:szCs w:val="18"/>
                <w:color w:val="auto"/>
              </w:rPr>
              <w:t>operatng actvites:</w:t>
            </w:r>
          </w:p>
        </w:tc>
        <w:tc>
          <w:tcPr>
            <w:tcW w:w="1080" w:type="dxa"/>
            <w:vAlign w:val="bottom"/>
            <w:tcBorders>
              <w:bottom w:val="single" w:sz="8" w:color="CCECFF"/>
            </w:tcBorders>
            <w:shd w:val="clear" w:color="auto" w:fill="CCECFF"/>
          </w:tcPr>
          <w:p>
            <w:pPr>
              <w:spacing w:after="0"/>
              <w:rPr>
                <w:sz w:val="20"/>
                <w:szCs w:val="20"/>
                <w:color w:val="auto"/>
              </w:rPr>
            </w:pPr>
          </w:p>
        </w:tc>
        <w:tc>
          <w:tcPr>
            <w:tcW w:w="620" w:type="dxa"/>
            <w:vAlign w:val="bottom"/>
            <w:tcBorders>
              <w:bottom w:val="single" w:sz="8" w:color="CCECFF"/>
            </w:tcBorders>
            <w:shd w:val="clear" w:color="auto" w:fill="CCECFF"/>
          </w:tcPr>
          <w:p>
            <w:pPr>
              <w:spacing w:after="0"/>
              <w:rPr>
                <w:sz w:val="20"/>
                <w:szCs w:val="20"/>
                <w:color w:val="auto"/>
              </w:rPr>
            </w:pPr>
          </w:p>
        </w:tc>
        <w:tc>
          <w:tcPr>
            <w:tcW w:w="300" w:type="dxa"/>
            <w:vAlign w:val="bottom"/>
            <w:tcBorders>
              <w:bottom w:val="single" w:sz="8" w:color="CCECFF"/>
            </w:tcBorders>
            <w:shd w:val="clear" w:color="auto" w:fill="CCECFF"/>
          </w:tcPr>
          <w:p>
            <w:pPr>
              <w:spacing w:after="0"/>
              <w:rPr>
                <w:sz w:val="20"/>
                <w:szCs w:val="20"/>
                <w:color w:val="auto"/>
              </w:rPr>
            </w:pPr>
          </w:p>
        </w:tc>
        <w:tc>
          <w:tcPr>
            <w:tcW w:w="1080" w:type="dxa"/>
            <w:vAlign w:val="bottom"/>
            <w:tcBorders>
              <w:bottom w:val="single" w:sz="8" w:color="CCECFF"/>
            </w:tcBorders>
            <w:shd w:val="clear" w:color="auto" w:fill="CCECFF"/>
          </w:tcPr>
          <w:p>
            <w:pPr>
              <w:spacing w:after="0"/>
              <w:rPr>
                <w:sz w:val="20"/>
                <w:szCs w:val="20"/>
                <w:color w:val="auto"/>
              </w:rPr>
            </w:pPr>
          </w:p>
        </w:tc>
        <w:tc>
          <w:tcPr>
            <w:tcW w:w="600" w:type="dxa"/>
            <w:vAlign w:val="bottom"/>
            <w:tcBorders>
              <w:bottom w:val="single" w:sz="8" w:color="CCECFF"/>
            </w:tcBorders>
            <w:shd w:val="clear" w:color="auto" w:fill="CCECFF"/>
          </w:tcPr>
          <w:p>
            <w:pPr>
              <w:spacing w:after="0"/>
              <w:rPr>
                <w:sz w:val="20"/>
                <w:szCs w:val="20"/>
                <w:color w:val="auto"/>
              </w:rPr>
            </w:pPr>
          </w:p>
        </w:tc>
        <w:tc>
          <w:tcPr>
            <w:tcW w:w="100" w:type="dxa"/>
            <w:vAlign w:val="bottom"/>
            <w:tcBorders>
              <w:bottom w:val="single" w:sz="8" w:color="CCECFF"/>
            </w:tcBorders>
            <w:shd w:val="clear" w:color="auto" w:fill="CCECFF"/>
          </w:tcPr>
          <w:p>
            <w:pPr>
              <w:spacing w:after="0"/>
              <w:rPr>
                <w:sz w:val="20"/>
                <w:szCs w:val="20"/>
                <w:color w:val="auto"/>
              </w:rPr>
            </w:pPr>
          </w:p>
        </w:tc>
      </w:tr>
      <w:tr>
        <w:trPr>
          <w:trHeight w:val="215"/>
        </w:trPr>
        <w:tc>
          <w:tcPr>
            <w:tcW w:w="7460" w:type="dxa"/>
            <w:vAlign w:val="bottom"/>
          </w:tcPr>
          <w:p>
            <w:pPr>
              <w:ind w:left="380"/>
              <w:spacing w:after="0" w:line="215" w:lineRule="exact"/>
              <w:rPr>
                <w:sz w:val="20"/>
                <w:szCs w:val="20"/>
                <w:color w:val="auto"/>
              </w:rPr>
            </w:pPr>
            <w:r>
              <w:rPr>
                <w:rFonts w:ascii="Calibri" w:cs="Calibri" w:eastAsia="Calibri" w:hAnsi="Calibri"/>
                <w:sz w:val="18"/>
                <w:szCs w:val="18"/>
                <w:color w:val="auto"/>
              </w:rPr>
              <w:t>Depreciaton and amortzaton</w:t>
            </w:r>
          </w:p>
        </w:tc>
        <w:tc>
          <w:tcPr>
            <w:tcW w:w="1080" w:type="dxa"/>
            <w:vAlign w:val="bottom"/>
          </w:tcPr>
          <w:p>
            <w:pPr>
              <w:spacing w:after="0"/>
              <w:rPr>
                <w:sz w:val="18"/>
                <w:szCs w:val="18"/>
                <w:color w:val="auto"/>
              </w:rPr>
            </w:pPr>
          </w:p>
        </w:tc>
        <w:tc>
          <w:tcPr>
            <w:tcW w:w="620" w:type="dxa"/>
            <w:vAlign w:val="bottom"/>
          </w:tcPr>
          <w:p>
            <w:pPr>
              <w:jc w:val="right"/>
              <w:spacing w:after="0" w:line="215" w:lineRule="exact"/>
              <w:rPr>
                <w:sz w:val="20"/>
                <w:szCs w:val="20"/>
                <w:color w:val="auto"/>
              </w:rPr>
            </w:pPr>
            <w:r>
              <w:rPr>
                <w:rFonts w:ascii="Calibri" w:cs="Calibri" w:eastAsia="Calibri" w:hAnsi="Calibri"/>
                <w:sz w:val="18"/>
                <w:szCs w:val="18"/>
                <w:color w:val="auto"/>
              </w:rPr>
              <w:t>3,309</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jc w:val="right"/>
              <w:spacing w:after="0" w:line="215" w:lineRule="exact"/>
              <w:rPr>
                <w:sz w:val="20"/>
                <w:szCs w:val="20"/>
                <w:color w:val="auto"/>
              </w:rPr>
            </w:pPr>
            <w:r>
              <w:rPr>
                <w:rFonts w:ascii="Calibri" w:cs="Calibri" w:eastAsia="Calibri" w:hAnsi="Calibri"/>
                <w:sz w:val="18"/>
                <w:szCs w:val="18"/>
                <w:color w:val="auto"/>
              </w:rPr>
              <w:t>3,969</w:t>
            </w:r>
          </w:p>
        </w:tc>
        <w:tc>
          <w:tcPr>
            <w:tcW w:w="100" w:type="dxa"/>
            <w:vAlign w:val="bottom"/>
          </w:tcPr>
          <w:p>
            <w:pPr>
              <w:spacing w:after="0"/>
              <w:rPr>
                <w:sz w:val="18"/>
                <w:szCs w:val="18"/>
                <w:color w:val="auto"/>
              </w:rPr>
            </w:pPr>
          </w:p>
        </w:tc>
      </w:tr>
      <w:tr>
        <w:trPr>
          <w:trHeight w:val="28"/>
        </w:trPr>
        <w:tc>
          <w:tcPr>
            <w:tcW w:w="74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460" w:type="dxa"/>
            <w:vAlign w:val="bottom"/>
            <w:tcBorders>
              <w:bottom w:val="single" w:sz="8" w:color="CFF0FC"/>
            </w:tcBorders>
            <w:shd w:val="clear" w:color="auto" w:fill="CFF0FC"/>
          </w:tcPr>
          <w:p>
            <w:pPr>
              <w:ind w:left="380"/>
              <w:spacing w:after="0" w:line="215" w:lineRule="exact"/>
              <w:rPr>
                <w:sz w:val="20"/>
                <w:szCs w:val="20"/>
                <w:color w:val="auto"/>
              </w:rPr>
            </w:pPr>
            <w:r>
              <w:rPr>
                <w:rFonts w:ascii="Calibri" w:cs="Calibri" w:eastAsia="Calibri" w:hAnsi="Calibri"/>
                <w:sz w:val="18"/>
                <w:szCs w:val="18"/>
                <w:color w:val="auto"/>
              </w:rPr>
              <w:t>Provision for credit losses on accounts receivable</w:t>
            </w:r>
          </w:p>
        </w:tc>
        <w:tc>
          <w:tcPr>
            <w:tcW w:w="108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gridSpan w:val="2"/>
            <w:shd w:val="clear" w:color="auto" w:fill="CFF0FC"/>
          </w:tcPr>
          <w:p>
            <w:pPr>
              <w:jc w:val="right"/>
              <w:ind w:right="159"/>
              <w:spacing w:after="0" w:line="215" w:lineRule="exact"/>
              <w:rPr>
                <w:sz w:val="20"/>
                <w:szCs w:val="20"/>
                <w:color w:val="auto"/>
              </w:rPr>
            </w:pPr>
            <w:r>
              <w:rPr>
                <w:rFonts w:ascii="Calibri" w:cs="Calibri" w:eastAsia="Calibri" w:hAnsi="Calibri"/>
                <w:sz w:val="18"/>
                <w:szCs w:val="18"/>
                <w:color w:val="auto"/>
              </w:rPr>
              <w:t>(19 )</w:t>
            </w:r>
          </w:p>
        </w:tc>
        <w:tc>
          <w:tcPr>
            <w:tcW w:w="108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7460" w:type="dxa"/>
            <w:vAlign w:val="bottom"/>
          </w:tcPr>
          <w:p>
            <w:pPr>
              <w:ind w:left="380"/>
              <w:spacing w:after="0" w:line="215" w:lineRule="exact"/>
              <w:rPr>
                <w:sz w:val="20"/>
                <w:szCs w:val="20"/>
                <w:color w:val="auto"/>
              </w:rPr>
            </w:pPr>
            <w:r>
              <w:rPr>
                <w:rFonts w:ascii="Calibri" w:cs="Calibri" w:eastAsia="Calibri" w:hAnsi="Calibri"/>
                <w:sz w:val="18"/>
                <w:szCs w:val="18"/>
                <w:color w:val="auto"/>
              </w:rPr>
              <w:t>Stock-based compensaton expense</w:t>
            </w:r>
          </w:p>
        </w:tc>
        <w:tc>
          <w:tcPr>
            <w:tcW w:w="1080" w:type="dxa"/>
            <w:vAlign w:val="bottom"/>
          </w:tcPr>
          <w:p>
            <w:pPr>
              <w:spacing w:after="0"/>
              <w:rPr>
                <w:sz w:val="18"/>
                <w:szCs w:val="18"/>
                <w:color w:val="auto"/>
              </w:rPr>
            </w:pPr>
          </w:p>
        </w:tc>
        <w:tc>
          <w:tcPr>
            <w:tcW w:w="620" w:type="dxa"/>
            <w:vAlign w:val="bottom"/>
          </w:tcPr>
          <w:p>
            <w:pPr>
              <w:jc w:val="right"/>
              <w:spacing w:after="0" w:line="215" w:lineRule="exact"/>
              <w:rPr>
                <w:sz w:val="20"/>
                <w:szCs w:val="20"/>
                <w:color w:val="auto"/>
              </w:rPr>
            </w:pPr>
            <w:r>
              <w:rPr>
                <w:rFonts w:ascii="Calibri" w:cs="Calibri" w:eastAsia="Calibri" w:hAnsi="Calibri"/>
                <w:sz w:val="18"/>
                <w:szCs w:val="18"/>
                <w:color w:val="auto"/>
              </w:rPr>
              <w:t>932</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jc w:val="right"/>
              <w:spacing w:after="0" w:line="215" w:lineRule="exact"/>
              <w:rPr>
                <w:sz w:val="20"/>
                <w:szCs w:val="20"/>
                <w:color w:val="auto"/>
              </w:rPr>
            </w:pPr>
            <w:r>
              <w:rPr>
                <w:rFonts w:ascii="Calibri" w:cs="Calibri" w:eastAsia="Calibri" w:hAnsi="Calibri"/>
                <w:sz w:val="18"/>
                <w:szCs w:val="18"/>
                <w:color w:val="auto"/>
              </w:rPr>
              <w:t>932</w:t>
            </w:r>
          </w:p>
        </w:tc>
        <w:tc>
          <w:tcPr>
            <w:tcW w:w="100" w:type="dxa"/>
            <w:vAlign w:val="bottom"/>
          </w:tcPr>
          <w:p>
            <w:pPr>
              <w:spacing w:after="0"/>
              <w:rPr>
                <w:sz w:val="18"/>
                <w:szCs w:val="18"/>
                <w:color w:val="auto"/>
              </w:rPr>
            </w:pPr>
          </w:p>
        </w:tc>
      </w:tr>
      <w:tr>
        <w:trPr>
          <w:trHeight w:val="28"/>
        </w:trPr>
        <w:tc>
          <w:tcPr>
            <w:tcW w:w="74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460" w:type="dxa"/>
            <w:vAlign w:val="bottom"/>
            <w:tcBorders>
              <w:bottom w:val="single" w:sz="8" w:color="CFF0FC"/>
            </w:tcBorders>
            <w:shd w:val="clear" w:color="auto" w:fill="CFF0FC"/>
          </w:tcPr>
          <w:p>
            <w:pPr>
              <w:ind w:left="200"/>
              <w:spacing w:after="0" w:line="215" w:lineRule="exact"/>
              <w:rPr>
                <w:sz w:val="20"/>
                <w:szCs w:val="20"/>
                <w:color w:val="auto"/>
              </w:rPr>
            </w:pPr>
            <w:r>
              <w:rPr>
                <w:rFonts w:ascii="Calibri" w:cs="Calibri" w:eastAsia="Calibri" w:hAnsi="Calibri"/>
                <w:sz w:val="18"/>
                <w:szCs w:val="18"/>
                <w:color w:val="auto"/>
              </w:rPr>
              <w:t>Changes in operatng assets and liabilites:</w:t>
            </w:r>
          </w:p>
        </w:tc>
        <w:tc>
          <w:tcPr>
            <w:tcW w:w="108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7460" w:type="dxa"/>
            <w:vAlign w:val="bottom"/>
          </w:tcPr>
          <w:p>
            <w:pPr>
              <w:ind w:left="380"/>
              <w:spacing w:after="0" w:line="215" w:lineRule="exact"/>
              <w:rPr>
                <w:sz w:val="20"/>
                <w:szCs w:val="20"/>
                <w:color w:val="auto"/>
              </w:rPr>
            </w:pPr>
            <w:r>
              <w:rPr>
                <w:rFonts w:ascii="Calibri" w:cs="Calibri" w:eastAsia="Calibri" w:hAnsi="Calibri"/>
                <w:sz w:val="18"/>
                <w:szCs w:val="18"/>
                <w:color w:val="auto"/>
              </w:rPr>
              <w:t>Accounts receivable</w:t>
            </w:r>
          </w:p>
        </w:tc>
        <w:tc>
          <w:tcPr>
            <w:tcW w:w="1080" w:type="dxa"/>
            <w:vAlign w:val="bottom"/>
          </w:tcPr>
          <w:p>
            <w:pPr>
              <w:spacing w:after="0"/>
              <w:rPr>
                <w:sz w:val="18"/>
                <w:szCs w:val="18"/>
                <w:color w:val="auto"/>
              </w:rPr>
            </w:pPr>
          </w:p>
        </w:tc>
        <w:tc>
          <w:tcPr>
            <w:tcW w:w="920" w:type="dxa"/>
            <w:vAlign w:val="bottom"/>
            <w:gridSpan w:val="2"/>
          </w:tcPr>
          <w:p>
            <w:pPr>
              <w:jc w:val="right"/>
              <w:ind w:right="159"/>
              <w:spacing w:after="0" w:line="215" w:lineRule="exact"/>
              <w:rPr>
                <w:sz w:val="20"/>
                <w:szCs w:val="20"/>
                <w:color w:val="auto"/>
              </w:rPr>
            </w:pPr>
            <w:r>
              <w:rPr>
                <w:rFonts w:ascii="Calibri" w:cs="Calibri" w:eastAsia="Calibri" w:hAnsi="Calibri"/>
                <w:sz w:val="18"/>
                <w:szCs w:val="18"/>
                <w:color w:val="auto"/>
              </w:rPr>
              <w:t>(599 )</w:t>
            </w:r>
          </w:p>
        </w:tc>
        <w:tc>
          <w:tcPr>
            <w:tcW w:w="1080" w:type="dxa"/>
            <w:vAlign w:val="bottom"/>
          </w:tcPr>
          <w:p>
            <w:pPr>
              <w:spacing w:after="0"/>
              <w:rPr>
                <w:sz w:val="18"/>
                <w:szCs w:val="18"/>
                <w:color w:val="auto"/>
              </w:rPr>
            </w:pPr>
          </w:p>
        </w:tc>
        <w:tc>
          <w:tcPr>
            <w:tcW w:w="600" w:type="dxa"/>
            <w:vAlign w:val="bottom"/>
          </w:tcPr>
          <w:p>
            <w:pPr>
              <w:jc w:val="right"/>
              <w:spacing w:after="0" w:line="215" w:lineRule="exact"/>
              <w:rPr>
                <w:sz w:val="20"/>
                <w:szCs w:val="20"/>
                <w:color w:val="auto"/>
              </w:rPr>
            </w:pPr>
            <w:r>
              <w:rPr>
                <w:rFonts w:ascii="Calibri" w:cs="Calibri" w:eastAsia="Calibri" w:hAnsi="Calibri"/>
                <w:sz w:val="18"/>
                <w:szCs w:val="18"/>
                <w:color w:val="auto"/>
              </w:rPr>
              <w:t>3,268</w:t>
            </w:r>
          </w:p>
        </w:tc>
        <w:tc>
          <w:tcPr>
            <w:tcW w:w="100" w:type="dxa"/>
            <w:vAlign w:val="bottom"/>
          </w:tcPr>
          <w:p>
            <w:pPr>
              <w:spacing w:after="0"/>
              <w:rPr>
                <w:sz w:val="18"/>
                <w:szCs w:val="18"/>
                <w:color w:val="auto"/>
              </w:rPr>
            </w:pPr>
          </w:p>
        </w:tc>
      </w:tr>
      <w:tr>
        <w:trPr>
          <w:trHeight w:val="28"/>
        </w:trPr>
        <w:tc>
          <w:tcPr>
            <w:tcW w:w="74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460" w:type="dxa"/>
            <w:vAlign w:val="bottom"/>
            <w:tcBorders>
              <w:bottom w:val="single" w:sz="8" w:color="CFF0FC"/>
            </w:tcBorders>
            <w:shd w:val="clear" w:color="auto" w:fill="CFF0FC"/>
          </w:tcPr>
          <w:p>
            <w:pPr>
              <w:ind w:left="380"/>
              <w:spacing w:after="0" w:line="215" w:lineRule="exact"/>
              <w:rPr>
                <w:sz w:val="20"/>
                <w:szCs w:val="20"/>
                <w:color w:val="auto"/>
              </w:rPr>
            </w:pPr>
            <w:r>
              <w:rPr>
                <w:rFonts w:ascii="Calibri" w:cs="Calibri" w:eastAsia="Calibri" w:hAnsi="Calibri"/>
                <w:sz w:val="18"/>
                <w:szCs w:val="18"/>
                <w:color w:val="auto"/>
              </w:rPr>
              <w:t>Inventories</w:t>
            </w:r>
          </w:p>
        </w:tc>
        <w:tc>
          <w:tcPr>
            <w:tcW w:w="108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gridSpan w:val="2"/>
            <w:shd w:val="clear" w:color="auto" w:fill="CFF0FC"/>
          </w:tcPr>
          <w:p>
            <w:pPr>
              <w:jc w:val="right"/>
              <w:ind w:right="159"/>
              <w:spacing w:after="0" w:line="215" w:lineRule="exact"/>
              <w:rPr>
                <w:sz w:val="20"/>
                <w:szCs w:val="20"/>
                <w:color w:val="auto"/>
              </w:rPr>
            </w:pPr>
            <w:r>
              <w:rPr>
                <w:rFonts w:ascii="Calibri" w:cs="Calibri" w:eastAsia="Calibri" w:hAnsi="Calibri"/>
                <w:sz w:val="18"/>
                <w:szCs w:val="18"/>
                <w:color w:val="auto"/>
              </w:rPr>
              <w:t>(13,395 )</w:t>
            </w:r>
          </w:p>
        </w:tc>
        <w:tc>
          <w:tcPr>
            <w:tcW w:w="108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(5,179 )</w:t>
            </w:r>
          </w:p>
        </w:tc>
      </w:tr>
      <w:tr>
        <w:trPr>
          <w:trHeight w:val="215"/>
        </w:trPr>
        <w:tc>
          <w:tcPr>
            <w:tcW w:w="7460" w:type="dxa"/>
            <w:vAlign w:val="bottom"/>
          </w:tcPr>
          <w:p>
            <w:pPr>
              <w:ind w:left="380"/>
              <w:spacing w:after="0" w:line="215" w:lineRule="exact"/>
              <w:rPr>
                <w:sz w:val="20"/>
                <w:szCs w:val="20"/>
                <w:color w:val="auto"/>
              </w:rPr>
            </w:pPr>
            <w:r>
              <w:rPr>
                <w:rFonts w:ascii="Calibri" w:cs="Calibri" w:eastAsia="Calibri" w:hAnsi="Calibri"/>
                <w:sz w:val="18"/>
                <w:szCs w:val="18"/>
                <w:color w:val="auto"/>
              </w:rPr>
              <w:t>Accounts payable</w:t>
            </w:r>
          </w:p>
        </w:tc>
        <w:tc>
          <w:tcPr>
            <w:tcW w:w="1080" w:type="dxa"/>
            <w:vAlign w:val="bottom"/>
          </w:tcPr>
          <w:p>
            <w:pPr>
              <w:spacing w:after="0"/>
              <w:rPr>
                <w:sz w:val="18"/>
                <w:szCs w:val="18"/>
                <w:color w:val="auto"/>
              </w:rPr>
            </w:pPr>
          </w:p>
        </w:tc>
        <w:tc>
          <w:tcPr>
            <w:tcW w:w="620" w:type="dxa"/>
            <w:vAlign w:val="bottom"/>
          </w:tcPr>
          <w:p>
            <w:pPr>
              <w:jc w:val="right"/>
              <w:spacing w:after="0" w:line="215" w:lineRule="exact"/>
              <w:rPr>
                <w:sz w:val="20"/>
                <w:szCs w:val="20"/>
                <w:color w:val="auto"/>
              </w:rPr>
            </w:pPr>
            <w:r>
              <w:rPr>
                <w:rFonts w:ascii="Calibri" w:cs="Calibri" w:eastAsia="Calibri" w:hAnsi="Calibri"/>
                <w:sz w:val="18"/>
                <w:szCs w:val="18"/>
                <w:color w:val="auto"/>
              </w:rPr>
              <w:t>4,073</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jc w:val="right"/>
              <w:spacing w:after="0" w:line="215" w:lineRule="exact"/>
              <w:rPr>
                <w:sz w:val="20"/>
                <w:szCs w:val="20"/>
                <w:color w:val="auto"/>
              </w:rPr>
            </w:pPr>
            <w:r>
              <w:rPr>
                <w:rFonts w:ascii="Calibri" w:cs="Calibri" w:eastAsia="Calibri" w:hAnsi="Calibri"/>
                <w:sz w:val="18"/>
                <w:szCs w:val="18"/>
                <w:color w:val="auto"/>
              </w:rPr>
              <w:t>4,115</w:t>
            </w:r>
          </w:p>
        </w:tc>
        <w:tc>
          <w:tcPr>
            <w:tcW w:w="100" w:type="dxa"/>
            <w:vAlign w:val="bottom"/>
          </w:tcPr>
          <w:p>
            <w:pPr>
              <w:spacing w:after="0"/>
              <w:rPr>
                <w:sz w:val="18"/>
                <w:szCs w:val="18"/>
                <w:color w:val="auto"/>
              </w:rPr>
            </w:pPr>
          </w:p>
        </w:tc>
      </w:tr>
      <w:tr>
        <w:trPr>
          <w:trHeight w:val="28"/>
        </w:trPr>
        <w:tc>
          <w:tcPr>
            <w:tcW w:w="74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460" w:type="dxa"/>
            <w:vAlign w:val="bottom"/>
            <w:tcBorders>
              <w:bottom w:val="single" w:sz="8" w:color="CFF0FC"/>
            </w:tcBorders>
            <w:shd w:val="clear" w:color="auto" w:fill="CFF0FC"/>
          </w:tcPr>
          <w:p>
            <w:pPr>
              <w:ind w:left="380"/>
              <w:spacing w:after="0" w:line="215" w:lineRule="exact"/>
              <w:rPr>
                <w:sz w:val="20"/>
                <w:szCs w:val="20"/>
                <w:color w:val="auto"/>
              </w:rPr>
            </w:pPr>
            <w:r>
              <w:rPr>
                <w:rFonts w:ascii="Calibri" w:cs="Calibri" w:eastAsia="Calibri" w:hAnsi="Calibri"/>
                <w:sz w:val="18"/>
                <w:szCs w:val="18"/>
                <w:color w:val="auto"/>
              </w:rPr>
              <w:t>Accrued liabilites</w:t>
            </w:r>
          </w:p>
        </w:tc>
        <w:tc>
          <w:tcPr>
            <w:tcW w:w="108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2,794</w:t>
            </w:r>
          </w:p>
        </w:tc>
        <w:tc>
          <w:tcPr>
            <w:tcW w:w="30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2,122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0"/>
        </w:trPr>
        <w:tc>
          <w:tcPr>
            <w:tcW w:w="7460" w:type="dxa"/>
            <w:vAlign w:val="bottom"/>
          </w:tcPr>
          <w:p>
            <w:pPr>
              <w:ind w:left="380"/>
              <w:spacing w:after="0"/>
              <w:rPr>
                <w:sz w:val="20"/>
                <w:szCs w:val="20"/>
                <w:color w:val="auto"/>
              </w:rPr>
            </w:pPr>
            <w:r>
              <w:rPr>
                <w:rFonts w:ascii="Calibri" w:cs="Calibri" w:eastAsia="Calibri" w:hAnsi="Calibri"/>
                <w:sz w:val="18"/>
                <w:szCs w:val="18"/>
                <w:color w:val="auto"/>
              </w:rPr>
              <w:t>Other</w:t>
            </w:r>
          </w:p>
        </w:tc>
        <w:tc>
          <w:tcPr>
            <w:tcW w:w="1080" w:type="dxa"/>
            <w:vAlign w:val="bottom"/>
          </w:tcPr>
          <w:p>
            <w:pPr>
              <w:spacing w:after="0"/>
              <w:rPr>
                <w:sz w:val="19"/>
                <w:szCs w:val="19"/>
                <w:color w:val="auto"/>
              </w:rPr>
            </w:pPr>
          </w:p>
        </w:tc>
        <w:tc>
          <w:tcPr>
            <w:tcW w:w="620" w:type="dxa"/>
            <w:vAlign w:val="bottom"/>
          </w:tcPr>
          <w:p>
            <w:pPr>
              <w:jc w:val="right"/>
              <w:spacing w:after="0" w:line="215" w:lineRule="exact"/>
              <w:rPr>
                <w:sz w:val="20"/>
                <w:szCs w:val="20"/>
                <w:color w:val="auto"/>
              </w:rPr>
            </w:pPr>
            <w:r>
              <w:rPr>
                <w:rFonts w:ascii="Calibri" w:cs="Calibri" w:eastAsia="Calibri" w:hAnsi="Calibri"/>
                <w:sz w:val="18"/>
                <w:szCs w:val="18"/>
                <w:color w:val="auto"/>
              </w:rPr>
              <w:t>918</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0" w:type="dxa"/>
            <w:vAlign w:val="bottom"/>
          </w:tcPr>
          <w:p>
            <w:pPr>
              <w:jc w:val="right"/>
              <w:spacing w:after="0" w:line="215" w:lineRule="exact"/>
              <w:rPr>
                <w:sz w:val="20"/>
                <w:szCs w:val="20"/>
                <w:color w:val="auto"/>
              </w:rPr>
            </w:pPr>
            <w:r>
              <w:rPr>
                <w:rFonts w:ascii="Calibri" w:cs="Calibri" w:eastAsia="Calibri" w:hAnsi="Calibri"/>
                <w:sz w:val="18"/>
                <w:szCs w:val="18"/>
                <w:color w:val="auto"/>
              </w:rPr>
              <w:t>45</w:t>
            </w:r>
          </w:p>
        </w:tc>
        <w:tc>
          <w:tcPr>
            <w:tcW w:w="100" w:type="dxa"/>
            <w:vAlign w:val="bottom"/>
          </w:tcPr>
          <w:p>
            <w:pPr>
              <w:spacing w:after="0"/>
              <w:rPr>
                <w:sz w:val="19"/>
                <w:szCs w:val="19"/>
                <w:color w:val="auto"/>
              </w:rPr>
            </w:pPr>
          </w:p>
        </w:tc>
      </w:tr>
      <w:tr>
        <w:trPr>
          <w:trHeight w:val="23"/>
        </w:trPr>
        <w:tc>
          <w:tcPr>
            <w:tcW w:w="74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41"/>
        </w:trPr>
        <w:tc>
          <w:tcPr>
            <w:tcW w:w="7460" w:type="dxa"/>
            <w:vAlign w:val="bottom"/>
            <w:tcBorders>
              <w:bottom w:val="single" w:sz="8" w:color="CFF0FC"/>
            </w:tcBorders>
            <w:shd w:val="clear" w:color="auto" w:fill="CFF0FC"/>
          </w:tcPr>
          <w:p>
            <w:pPr>
              <w:ind w:left="380"/>
              <w:spacing w:after="0" w:line="213" w:lineRule="exact"/>
              <w:rPr>
                <w:sz w:val="20"/>
                <w:szCs w:val="20"/>
                <w:color w:val="auto"/>
              </w:rPr>
            </w:pPr>
            <w:r>
              <w:rPr>
                <w:rFonts w:ascii="Calibri" w:cs="Calibri" w:eastAsia="Calibri" w:hAnsi="Calibri"/>
                <w:sz w:val="18"/>
                <w:szCs w:val="18"/>
                <w:color w:val="auto"/>
              </w:rPr>
              <w:t>Net cash (used in)/provided by operatng actvites</w:t>
            </w:r>
          </w:p>
        </w:tc>
        <w:tc>
          <w:tcPr>
            <w:tcW w:w="1080" w:type="dxa"/>
            <w:vAlign w:val="bottom"/>
            <w:tcBorders>
              <w:bottom w:val="single" w:sz="8" w:color="CFF0FC"/>
            </w:tcBorders>
            <w:shd w:val="clear" w:color="auto" w:fill="CFF0FC"/>
          </w:tcPr>
          <w:p>
            <w:pPr>
              <w:spacing w:after="0"/>
              <w:rPr>
                <w:sz w:val="20"/>
                <w:szCs w:val="20"/>
                <w:color w:val="auto"/>
              </w:rPr>
            </w:pPr>
          </w:p>
        </w:tc>
        <w:tc>
          <w:tcPr>
            <w:tcW w:w="920" w:type="dxa"/>
            <w:vAlign w:val="bottom"/>
            <w:tcBorders>
              <w:bottom w:val="single" w:sz="8" w:color="CFF0FC"/>
            </w:tcBorders>
            <w:gridSpan w:val="2"/>
            <w:shd w:val="clear" w:color="auto" w:fill="CFF0FC"/>
          </w:tcPr>
          <w:p>
            <w:pPr>
              <w:jc w:val="right"/>
              <w:ind w:right="159"/>
              <w:spacing w:after="0" w:line="213" w:lineRule="exact"/>
              <w:rPr>
                <w:sz w:val="20"/>
                <w:szCs w:val="20"/>
                <w:color w:val="auto"/>
              </w:rPr>
            </w:pPr>
            <w:r>
              <w:rPr>
                <w:rFonts w:ascii="Calibri" w:cs="Calibri" w:eastAsia="Calibri" w:hAnsi="Calibri"/>
                <w:sz w:val="18"/>
                <w:szCs w:val="18"/>
                <w:color w:val="auto"/>
              </w:rPr>
              <w:t>(4,352 )</w:t>
            </w:r>
          </w:p>
        </w:tc>
        <w:tc>
          <w:tcPr>
            <w:tcW w:w="1080" w:type="dxa"/>
            <w:vAlign w:val="bottom"/>
            <w:tcBorders>
              <w:bottom w:val="single" w:sz="8" w:color="CFF0FC"/>
            </w:tcBorders>
            <w:shd w:val="clear" w:color="auto" w:fill="CFF0FC"/>
          </w:tcPr>
          <w:p>
            <w:pPr>
              <w:spacing w:after="0"/>
              <w:rPr>
                <w:sz w:val="20"/>
                <w:szCs w:val="20"/>
                <w:color w:val="auto"/>
              </w:rPr>
            </w:pPr>
          </w:p>
        </w:tc>
        <w:tc>
          <w:tcPr>
            <w:tcW w:w="600" w:type="dxa"/>
            <w:vAlign w:val="bottom"/>
            <w:tcBorders>
              <w:bottom w:val="single" w:sz="8" w:color="CFF0FC"/>
            </w:tcBorders>
            <w:shd w:val="clear" w:color="auto" w:fill="CFF0FC"/>
          </w:tcPr>
          <w:p>
            <w:pPr>
              <w:jc w:val="right"/>
              <w:spacing w:after="0" w:line="213" w:lineRule="exact"/>
              <w:rPr>
                <w:sz w:val="20"/>
                <w:szCs w:val="20"/>
                <w:color w:val="auto"/>
              </w:rPr>
            </w:pPr>
            <w:r>
              <w:rPr>
                <w:rFonts w:ascii="Calibri" w:cs="Calibri" w:eastAsia="Calibri" w:hAnsi="Calibri"/>
                <w:sz w:val="18"/>
                <w:szCs w:val="18"/>
                <w:color w:val="auto"/>
              </w:rPr>
              <w:t>5,165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08"/>
        </w:trPr>
        <w:tc>
          <w:tcPr>
            <w:tcW w:w="7460" w:type="dxa"/>
            <w:vAlign w:val="bottom"/>
            <w:tcBorders>
              <w:top w:val="single" w:sz="8" w:color="CFF0FC"/>
            </w:tcBorders>
          </w:tcPr>
          <w:p>
            <w:pPr>
              <w:ind w:left="20"/>
              <w:spacing w:after="0" w:line="208" w:lineRule="exact"/>
              <w:rPr>
                <w:sz w:val="20"/>
                <w:szCs w:val="20"/>
                <w:color w:val="auto"/>
              </w:rPr>
            </w:pPr>
            <w:r>
              <w:rPr>
                <w:rFonts w:ascii="Calibri" w:cs="Calibri" w:eastAsia="Calibri" w:hAnsi="Calibri"/>
                <w:sz w:val="18"/>
                <w:szCs w:val="18"/>
                <w:color w:val="auto"/>
              </w:rPr>
              <w:t>Cash fows from investng actvites:</w:t>
            </w:r>
          </w:p>
        </w:tc>
        <w:tc>
          <w:tcPr>
            <w:tcW w:w="10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00" w:type="dxa"/>
            <w:vAlign w:val="bottom"/>
            <w:tcBorders>
              <w:top w:val="single" w:sz="8" w:color="CFF0FC"/>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8"/>
        </w:trPr>
        <w:tc>
          <w:tcPr>
            <w:tcW w:w="74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460" w:type="dxa"/>
            <w:vAlign w:val="bottom"/>
            <w:tcBorders>
              <w:bottom w:val="single" w:sz="8" w:color="CFF0FC"/>
            </w:tcBorders>
            <w:shd w:val="clear" w:color="auto" w:fill="CFF0FC"/>
          </w:tcPr>
          <w:p>
            <w:pPr>
              <w:ind w:left="200"/>
              <w:spacing w:after="0" w:line="215" w:lineRule="exact"/>
              <w:rPr>
                <w:sz w:val="20"/>
                <w:szCs w:val="20"/>
                <w:color w:val="auto"/>
              </w:rPr>
            </w:pPr>
            <w:r>
              <w:rPr>
                <w:rFonts w:ascii="Calibri" w:cs="Calibri" w:eastAsia="Calibri" w:hAnsi="Calibri"/>
                <w:sz w:val="18"/>
                <w:szCs w:val="18"/>
                <w:color w:val="auto"/>
              </w:rPr>
              <w:t>Payments to acquire patents and sofware</w:t>
            </w:r>
          </w:p>
        </w:tc>
        <w:tc>
          <w:tcPr>
            <w:tcW w:w="108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gridSpan w:val="2"/>
            <w:shd w:val="clear" w:color="auto" w:fill="CFF0FC"/>
          </w:tcPr>
          <w:p>
            <w:pPr>
              <w:jc w:val="right"/>
              <w:ind w:right="159"/>
              <w:spacing w:after="0" w:line="215" w:lineRule="exact"/>
              <w:rPr>
                <w:sz w:val="20"/>
                <w:szCs w:val="20"/>
                <w:color w:val="auto"/>
              </w:rPr>
            </w:pPr>
            <w:r>
              <w:rPr>
                <w:rFonts w:ascii="Calibri" w:cs="Calibri" w:eastAsia="Calibri" w:hAnsi="Calibri"/>
                <w:sz w:val="18"/>
                <w:szCs w:val="18"/>
                <w:color w:val="auto"/>
              </w:rPr>
              <w:t>(261 )</w:t>
            </w:r>
          </w:p>
        </w:tc>
        <w:tc>
          <w:tcPr>
            <w:tcW w:w="108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(267 )</w:t>
            </w:r>
          </w:p>
        </w:tc>
      </w:tr>
      <w:tr>
        <w:trPr>
          <w:trHeight w:val="220"/>
        </w:trPr>
        <w:tc>
          <w:tcPr>
            <w:tcW w:w="7460" w:type="dxa"/>
            <w:vAlign w:val="bottom"/>
          </w:tcPr>
          <w:p>
            <w:pPr>
              <w:ind w:left="200"/>
              <w:spacing w:after="0"/>
              <w:rPr>
                <w:sz w:val="20"/>
                <w:szCs w:val="20"/>
                <w:color w:val="auto"/>
              </w:rPr>
            </w:pPr>
            <w:r>
              <w:rPr>
                <w:rFonts w:ascii="Calibri" w:cs="Calibri" w:eastAsia="Calibri" w:hAnsi="Calibri"/>
                <w:sz w:val="18"/>
                <w:szCs w:val="18"/>
                <w:color w:val="auto"/>
              </w:rPr>
              <w:t>Payments to acquire property and equipment</w:t>
            </w:r>
          </w:p>
        </w:tc>
        <w:tc>
          <w:tcPr>
            <w:tcW w:w="1080" w:type="dxa"/>
            <w:vAlign w:val="bottom"/>
          </w:tcPr>
          <w:p>
            <w:pPr>
              <w:spacing w:after="0"/>
              <w:rPr>
                <w:sz w:val="19"/>
                <w:szCs w:val="19"/>
                <w:color w:val="auto"/>
              </w:rPr>
            </w:pPr>
          </w:p>
        </w:tc>
        <w:tc>
          <w:tcPr>
            <w:tcW w:w="920" w:type="dxa"/>
            <w:vAlign w:val="bottom"/>
            <w:gridSpan w:val="2"/>
          </w:tcPr>
          <w:p>
            <w:pPr>
              <w:jc w:val="right"/>
              <w:ind w:right="159"/>
              <w:spacing w:after="0" w:line="215" w:lineRule="exact"/>
              <w:rPr>
                <w:sz w:val="20"/>
                <w:szCs w:val="20"/>
                <w:color w:val="auto"/>
              </w:rPr>
            </w:pPr>
            <w:r>
              <w:rPr>
                <w:rFonts w:ascii="Calibri" w:cs="Calibri" w:eastAsia="Calibri" w:hAnsi="Calibri"/>
                <w:sz w:val="18"/>
                <w:szCs w:val="18"/>
                <w:color w:val="auto"/>
              </w:rPr>
              <w:t>(844 )</w:t>
            </w:r>
          </w:p>
        </w:tc>
        <w:tc>
          <w:tcPr>
            <w:tcW w:w="1080" w:type="dxa"/>
            <w:vAlign w:val="bottom"/>
          </w:tcPr>
          <w:p>
            <w:pPr>
              <w:spacing w:after="0"/>
              <w:rPr>
                <w:sz w:val="19"/>
                <w:szCs w:val="19"/>
                <w:color w:val="auto"/>
              </w:rPr>
            </w:pPr>
          </w:p>
        </w:tc>
        <w:tc>
          <w:tcPr>
            <w:tcW w:w="70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(569 )</w:t>
            </w:r>
          </w:p>
        </w:tc>
      </w:tr>
      <w:tr>
        <w:trPr>
          <w:trHeight w:val="23"/>
        </w:trPr>
        <w:tc>
          <w:tcPr>
            <w:tcW w:w="74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42"/>
        </w:trPr>
        <w:tc>
          <w:tcPr>
            <w:tcW w:w="7460" w:type="dxa"/>
            <w:vAlign w:val="bottom"/>
            <w:tcBorders>
              <w:bottom w:val="single" w:sz="8" w:color="CFF0FC"/>
            </w:tcBorders>
            <w:shd w:val="clear" w:color="auto" w:fill="CFF0FC"/>
          </w:tcPr>
          <w:p>
            <w:pPr>
              <w:ind w:left="580"/>
              <w:spacing w:after="0" w:line="213" w:lineRule="exact"/>
              <w:rPr>
                <w:sz w:val="20"/>
                <w:szCs w:val="20"/>
                <w:color w:val="auto"/>
              </w:rPr>
            </w:pPr>
            <w:r>
              <w:rPr>
                <w:rFonts w:ascii="Calibri" w:cs="Calibri" w:eastAsia="Calibri" w:hAnsi="Calibri"/>
                <w:sz w:val="18"/>
                <w:szCs w:val="18"/>
                <w:color w:val="auto"/>
              </w:rPr>
              <w:t>Net cash used in investng actvites</w:t>
            </w:r>
          </w:p>
        </w:tc>
        <w:tc>
          <w:tcPr>
            <w:tcW w:w="1080" w:type="dxa"/>
            <w:vAlign w:val="bottom"/>
            <w:tcBorders>
              <w:bottom w:val="single" w:sz="8" w:color="CFF0FC"/>
            </w:tcBorders>
            <w:shd w:val="clear" w:color="auto" w:fill="CFF0FC"/>
          </w:tcPr>
          <w:p>
            <w:pPr>
              <w:spacing w:after="0"/>
              <w:rPr>
                <w:sz w:val="20"/>
                <w:szCs w:val="20"/>
                <w:color w:val="auto"/>
              </w:rPr>
            </w:pPr>
          </w:p>
        </w:tc>
        <w:tc>
          <w:tcPr>
            <w:tcW w:w="920" w:type="dxa"/>
            <w:vAlign w:val="bottom"/>
            <w:tcBorders>
              <w:bottom w:val="single" w:sz="8" w:color="CFF0FC"/>
            </w:tcBorders>
            <w:gridSpan w:val="2"/>
            <w:shd w:val="clear" w:color="auto" w:fill="CFF0FC"/>
          </w:tcPr>
          <w:p>
            <w:pPr>
              <w:jc w:val="right"/>
              <w:ind w:right="159"/>
              <w:spacing w:after="0" w:line="213" w:lineRule="exact"/>
              <w:rPr>
                <w:sz w:val="20"/>
                <w:szCs w:val="20"/>
                <w:color w:val="auto"/>
              </w:rPr>
            </w:pPr>
            <w:r>
              <w:rPr>
                <w:rFonts w:ascii="Calibri" w:cs="Calibri" w:eastAsia="Calibri" w:hAnsi="Calibri"/>
                <w:sz w:val="18"/>
                <w:szCs w:val="18"/>
                <w:color w:val="auto"/>
              </w:rPr>
              <w:t>(1,105 )</w:t>
            </w:r>
          </w:p>
        </w:tc>
        <w:tc>
          <w:tcPr>
            <w:tcW w:w="1080" w:type="dxa"/>
            <w:vAlign w:val="bottom"/>
            <w:tcBorders>
              <w:bottom w:val="single" w:sz="8" w:color="CFF0FC"/>
            </w:tcBorders>
            <w:shd w:val="clear" w:color="auto" w:fill="CFF0FC"/>
          </w:tcPr>
          <w:p>
            <w:pPr>
              <w:spacing w:after="0"/>
              <w:rPr>
                <w:sz w:val="20"/>
                <w:szCs w:val="20"/>
                <w:color w:val="auto"/>
              </w:rPr>
            </w:pPr>
          </w:p>
        </w:tc>
        <w:tc>
          <w:tcPr>
            <w:tcW w:w="700" w:type="dxa"/>
            <w:vAlign w:val="bottom"/>
            <w:tcBorders>
              <w:bottom w:val="single" w:sz="8" w:color="CFF0FC"/>
            </w:tcBorders>
            <w:gridSpan w:val="2"/>
            <w:shd w:val="clear" w:color="auto" w:fill="CFF0FC"/>
          </w:tcPr>
          <w:p>
            <w:pPr>
              <w:jc w:val="right"/>
              <w:ind w:right="40"/>
              <w:spacing w:after="0" w:line="213" w:lineRule="exact"/>
              <w:rPr>
                <w:sz w:val="20"/>
                <w:szCs w:val="20"/>
                <w:color w:val="auto"/>
              </w:rPr>
            </w:pPr>
            <w:r>
              <w:rPr>
                <w:rFonts w:ascii="Calibri" w:cs="Calibri" w:eastAsia="Calibri" w:hAnsi="Calibri"/>
                <w:sz w:val="18"/>
                <w:szCs w:val="18"/>
                <w:color w:val="auto"/>
              </w:rPr>
              <w:t>(836 )</w:t>
            </w:r>
          </w:p>
        </w:tc>
      </w:tr>
      <w:tr>
        <w:trPr>
          <w:trHeight w:val="208"/>
        </w:trPr>
        <w:tc>
          <w:tcPr>
            <w:tcW w:w="7460" w:type="dxa"/>
            <w:vAlign w:val="bottom"/>
            <w:tcBorders>
              <w:top w:val="single" w:sz="8" w:color="CFF0FC"/>
            </w:tcBorders>
          </w:tcPr>
          <w:p>
            <w:pPr>
              <w:ind w:left="20"/>
              <w:spacing w:after="0" w:line="208" w:lineRule="exact"/>
              <w:rPr>
                <w:sz w:val="20"/>
                <w:szCs w:val="20"/>
                <w:color w:val="auto"/>
              </w:rPr>
            </w:pPr>
            <w:r>
              <w:rPr>
                <w:rFonts w:ascii="Calibri" w:cs="Calibri" w:eastAsia="Calibri" w:hAnsi="Calibri"/>
                <w:sz w:val="18"/>
                <w:szCs w:val="18"/>
                <w:color w:val="auto"/>
              </w:rPr>
              <w:t>Cash fows from fnancing actvites:</w:t>
            </w:r>
          </w:p>
        </w:tc>
        <w:tc>
          <w:tcPr>
            <w:tcW w:w="10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00" w:type="dxa"/>
            <w:vAlign w:val="bottom"/>
            <w:tcBorders>
              <w:top w:val="single" w:sz="8" w:color="CFF0FC"/>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8"/>
        </w:trPr>
        <w:tc>
          <w:tcPr>
            <w:tcW w:w="74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460" w:type="dxa"/>
            <w:vAlign w:val="bottom"/>
            <w:tcBorders>
              <w:bottom w:val="single" w:sz="8" w:color="CFF0FC"/>
            </w:tcBorders>
            <w:shd w:val="clear" w:color="auto" w:fill="CFF0FC"/>
          </w:tcPr>
          <w:p>
            <w:pPr>
              <w:ind w:left="200"/>
              <w:spacing w:after="0" w:line="215" w:lineRule="exact"/>
              <w:rPr>
                <w:sz w:val="20"/>
                <w:szCs w:val="20"/>
                <w:color w:val="auto"/>
              </w:rPr>
            </w:pPr>
            <w:r>
              <w:rPr>
                <w:rFonts w:ascii="Calibri" w:cs="Calibri" w:eastAsia="Calibri" w:hAnsi="Calibri"/>
                <w:sz w:val="18"/>
                <w:szCs w:val="18"/>
                <w:color w:val="auto"/>
              </w:rPr>
              <w:t>Payments on notes and loans payable</w:t>
            </w:r>
          </w:p>
        </w:tc>
        <w:tc>
          <w:tcPr>
            <w:tcW w:w="108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gridSpan w:val="2"/>
            <w:shd w:val="clear" w:color="auto" w:fill="CFF0FC"/>
          </w:tcPr>
          <w:p>
            <w:pPr>
              <w:jc w:val="right"/>
              <w:ind w:right="219"/>
              <w:spacing w:after="0" w:line="215" w:lineRule="exact"/>
              <w:rPr>
                <w:sz w:val="20"/>
                <w:szCs w:val="20"/>
                <w:color w:val="auto"/>
              </w:rPr>
            </w:pPr>
            <w:r>
              <w:rPr>
                <w:rFonts w:ascii="Calibri" w:cs="Calibri" w:eastAsia="Calibri" w:hAnsi="Calibri"/>
                <w:sz w:val="18"/>
                <w:szCs w:val="18"/>
                <w:color w:val="auto"/>
              </w:rPr>
              <w:t>—</w:t>
            </w:r>
          </w:p>
        </w:tc>
        <w:tc>
          <w:tcPr>
            <w:tcW w:w="108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(5,000 )</w:t>
            </w:r>
          </w:p>
        </w:tc>
      </w:tr>
      <w:tr>
        <w:trPr>
          <w:trHeight w:val="215"/>
        </w:trPr>
        <w:tc>
          <w:tcPr>
            <w:tcW w:w="7460" w:type="dxa"/>
            <w:vAlign w:val="bottom"/>
          </w:tcPr>
          <w:p>
            <w:pPr>
              <w:ind w:left="200"/>
              <w:spacing w:after="0" w:line="215" w:lineRule="exact"/>
              <w:rPr>
                <w:sz w:val="20"/>
                <w:szCs w:val="20"/>
                <w:color w:val="auto"/>
              </w:rPr>
            </w:pPr>
            <w:r>
              <w:rPr>
                <w:rFonts w:ascii="Calibri" w:cs="Calibri" w:eastAsia="Calibri" w:hAnsi="Calibri"/>
                <w:sz w:val="18"/>
                <w:szCs w:val="18"/>
                <w:color w:val="auto"/>
              </w:rPr>
              <w:t>Payments to acquire treasury stock</w:t>
            </w:r>
          </w:p>
        </w:tc>
        <w:tc>
          <w:tcPr>
            <w:tcW w:w="1080" w:type="dxa"/>
            <w:vAlign w:val="bottom"/>
          </w:tcPr>
          <w:p>
            <w:pPr>
              <w:spacing w:after="0"/>
              <w:rPr>
                <w:sz w:val="18"/>
                <w:szCs w:val="18"/>
                <w:color w:val="auto"/>
              </w:rPr>
            </w:pPr>
          </w:p>
        </w:tc>
        <w:tc>
          <w:tcPr>
            <w:tcW w:w="920" w:type="dxa"/>
            <w:vAlign w:val="bottom"/>
            <w:gridSpan w:val="2"/>
          </w:tcPr>
          <w:p>
            <w:pPr>
              <w:jc w:val="right"/>
              <w:ind w:right="159"/>
              <w:spacing w:after="0" w:line="215" w:lineRule="exact"/>
              <w:rPr>
                <w:sz w:val="20"/>
                <w:szCs w:val="20"/>
                <w:color w:val="auto"/>
              </w:rPr>
            </w:pPr>
            <w:r>
              <w:rPr>
                <w:rFonts w:ascii="Calibri" w:cs="Calibri" w:eastAsia="Calibri" w:hAnsi="Calibri"/>
                <w:sz w:val="18"/>
                <w:szCs w:val="18"/>
                <w:color w:val="auto"/>
              </w:rPr>
              <w:t>(381 )</w:t>
            </w:r>
          </w:p>
        </w:tc>
        <w:tc>
          <w:tcPr>
            <w:tcW w:w="1080" w:type="dxa"/>
            <w:vAlign w:val="bottom"/>
          </w:tcPr>
          <w:p>
            <w:pPr>
              <w:spacing w:after="0"/>
              <w:rPr>
                <w:sz w:val="18"/>
                <w:szCs w:val="18"/>
                <w:color w:val="auto"/>
              </w:rPr>
            </w:pPr>
          </w:p>
        </w:tc>
        <w:tc>
          <w:tcPr>
            <w:tcW w:w="70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(2,268 )</w:t>
            </w:r>
          </w:p>
        </w:tc>
      </w:tr>
      <w:tr>
        <w:trPr>
          <w:trHeight w:val="28"/>
        </w:trPr>
        <w:tc>
          <w:tcPr>
            <w:tcW w:w="74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460" w:type="dxa"/>
            <w:vAlign w:val="bottom"/>
            <w:tcBorders>
              <w:bottom w:val="single" w:sz="8" w:color="CFF0FC"/>
            </w:tcBorders>
            <w:shd w:val="clear" w:color="auto" w:fill="CFF0FC"/>
          </w:tcPr>
          <w:p>
            <w:pPr>
              <w:ind w:left="200"/>
              <w:spacing w:after="0"/>
              <w:rPr>
                <w:sz w:val="20"/>
                <w:szCs w:val="20"/>
                <w:color w:val="auto"/>
              </w:rPr>
            </w:pPr>
            <w:r>
              <w:rPr>
                <w:rFonts w:ascii="Calibri" w:cs="Calibri" w:eastAsia="Calibri" w:hAnsi="Calibri"/>
                <w:sz w:val="18"/>
                <w:szCs w:val="18"/>
                <w:color w:val="auto"/>
              </w:rPr>
              <w:t>Payment of employee withholding tax related to restricted stock units</w:t>
            </w:r>
          </w:p>
        </w:tc>
        <w:tc>
          <w:tcPr>
            <w:tcW w:w="108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gridSpan w:val="2"/>
            <w:shd w:val="clear" w:color="auto" w:fill="CFF0FC"/>
          </w:tcPr>
          <w:p>
            <w:pPr>
              <w:jc w:val="right"/>
              <w:ind w:right="159"/>
              <w:spacing w:after="0" w:line="215" w:lineRule="exact"/>
              <w:rPr>
                <w:sz w:val="20"/>
                <w:szCs w:val="20"/>
                <w:color w:val="auto"/>
              </w:rPr>
            </w:pPr>
            <w:r>
              <w:rPr>
                <w:rFonts w:ascii="Calibri" w:cs="Calibri" w:eastAsia="Calibri" w:hAnsi="Calibri"/>
                <w:sz w:val="18"/>
                <w:szCs w:val="18"/>
                <w:color w:val="auto"/>
              </w:rPr>
              <w:t>(397 )</w:t>
            </w:r>
          </w:p>
        </w:tc>
        <w:tc>
          <w:tcPr>
            <w:tcW w:w="108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(300 )</w:t>
            </w:r>
          </w:p>
        </w:tc>
      </w:tr>
      <w:tr>
        <w:trPr>
          <w:trHeight w:val="20"/>
        </w:trPr>
        <w:tc>
          <w:tcPr>
            <w:tcW w:w="746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3"/>
        </w:trPr>
        <w:tc>
          <w:tcPr>
            <w:tcW w:w="7460" w:type="dxa"/>
            <w:vAlign w:val="bottom"/>
          </w:tcPr>
          <w:p>
            <w:pPr>
              <w:ind w:left="580"/>
              <w:spacing w:after="0" w:line="213" w:lineRule="exact"/>
              <w:rPr>
                <w:sz w:val="20"/>
                <w:szCs w:val="20"/>
                <w:color w:val="auto"/>
              </w:rPr>
            </w:pPr>
            <w:r>
              <w:rPr>
                <w:rFonts w:ascii="Calibri" w:cs="Calibri" w:eastAsia="Calibri" w:hAnsi="Calibri"/>
                <w:sz w:val="18"/>
                <w:szCs w:val="18"/>
                <w:color w:val="auto"/>
              </w:rPr>
              <w:t>Net cash used in fnancing actvites</w:t>
            </w:r>
          </w:p>
        </w:tc>
        <w:tc>
          <w:tcPr>
            <w:tcW w:w="1080" w:type="dxa"/>
            <w:vAlign w:val="bottom"/>
          </w:tcPr>
          <w:p>
            <w:pPr>
              <w:spacing w:after="0"/>
              <w:rPr>
                <w:sz w:val="18"/>
                <w:szCs w:val="18"/>
                <w:color w:val="auto"/>
              </w:rPr>
            </w:pPr>
          </w:p>
        </w:tc>
        <w:tc>
          <w:tcPr>
            <w:tcW w:w="920" w:type="dxa"/>
            <w:vAlign w:val="bottom"/>
            <w:gridSpan w:val="2"/>
          </w:tcPr>
          <w:p>
            <w:pPr>
              <w:jc w:val="right"/>
              <w:ind w:right="159"/>
              <w:spacing w:after="0" w:line="213" w:lineRule="exact"/>
              <w:rPr>
                <w:sz w:val="20"/>
                <w:szCs w:val="20"/>
                <w:color w:val="auto"/>
              </w:rPr>
            </w:pPr>
            <w:r>
              <w:rPr>
                <w:rFonts w:ascii="Calibri" w:cs="Calibri" w:eastAsia="Calibri" w:hAnsi="Calibri"/>
                <w:sz w:val="18"/>
                <w:szCs w:val="18"/>
                <w:color w:val="auto"/>
              </w:rPr>
              <w:t>(778 )</w:t>
            </w:r>
          </w:p>
        </w:tc>
        <w:tc>
          <w:tcPr>
            <w:tcW w:w="1080" w:type="dxa"/>
            <w:vAlign w:val="bottom"/>
          </w:tcPr>
          <w:p>
            <w:pPr>
              <w:spacing w:after="0"/>
              <w:rPr>
                <w:sz w:val="18"/>
                <w:szCs w:val="18"/>
                <w:color w:val="auto"/>
              </w:rPr>
            </w:pPr>
          </w:p>
        </w:tc>
        <w:tc>
          <w:tcPr>
            <w:tcW w:w="700" w:type="dxa"/>
            <w:vAlign w:val="bottom"/>
            <w:gridSpan w:val="2"/>
          </w:tcPr>
          <w:p>
            <w:pPr>
              <w:jc w:val="right"/>
              <w:ind w:right="40"/>
              <w:spacing w:after="0" w:line="213" w:lineRule="exact"/>
              <w:rPr>
                <w:sz w:val="20"/>
                <w:szCs w:val="20"/>
                <w:color w:val="auto"/>
              </w:rPr>
            </w:pPr>
            <w:r>
              <w:rPr>
                <w:rFonts w:ascii="Calibri" w:cs="Calibri" w:eastAsia="Calibri" w:hAnsi="Calibri"/>
                <w:sz w:val="18"/>
                <w:szCs w:val="18"/>
                <w:color w:val="auto"/>
              </w:rPr>
              <w:t>(7,568 )</w:t>
            </w:r>
          </w:p>
        </w:tc>
      </w:tr>
      <w:tr>
        <w:trPr>
          <w:trHeight w:val="23"/>
        </w:trPr>
        <w:tc>
          <w:tcPr>
            <w:tcW w:w="74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7"/>
        </w:trPr>
        <w:tc>
          <w:tcPr>
            <w:tcW w:w="746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Net increase in cash and cash equivalents</w:t>
            </w:r>
          </w:p>
        </w:tc>
        <w:tc>
          <w:tcPr>
            <w:tcW w:w="108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gridSpan w:val="2"/>
            <w:shd w:val="clear" w:color="auto" w:fill="CFF0FC"/>
          </w:tcPr>
          <w:p>
            <w:pPr>
              <w:jc w:val="right"/>
              <w:ind w:right="159"/>
              <w:spacing w:after="0" w:line="208" w:lineRule="exact"/>
              <w:rPr>
                <w:sz w:val="20"/>
                <w:szCs w:val="20"/>
                <w:color w:val="auto"/>
              </w:rPr>
            </w:pPr>
            <w:r>
              <w:rPr>
                <w:rFonts w:ascii="Calibri" w:cs="Calibri" w:eastAsia="Calibri" w:hAnsi="Calibri"/>
                <w:sz w:val="18"/>
                <w:szCs w:val="18"/>
                <w:color w:val="auto"/>
              </w:rPr>
              <w:t>(6,235 )</w:t>
            </w:r>
          </w:p>
        </w:tc>
        <w:tc>
          <w:tcPr>
            <w:tcW w:w="108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gridSpan w:val="2"/>
            <w:shd w:val="clear" w:color="auto" w:fill="CFF0FC"/>
          </w:tcPr>
          <w:p>
            <w:pPr>
              <w:jc w:val="right"/>
              <w:ind w:right="40"/>
              <w:spacing w:after="0" w:line="208" w:lineRule="exact"/>
              <w:rPr>
                <w:sz w:val="20"/>
                <w:szCs w:val="20"/>
                <w:color w:val="auto"/>
              </w:rPr>
            </w:pPr>
            <w:r>
              <w:rPr>
                <w:rFonts w:ascii="Calibri" w:cs="Calibri" w:eastAsia="Calibri" w:hAnsi="Calibri"/>
                <w:sz w:val="18"/>
                <w:szCs w:val="18"/>
                <w:color w:val="auto"/>
              </w:rPr>
              <w:t>(3,239 )</w:t>
            </w:r>
          </w:p>
        </w:tc>
      </w:tr>
      <w:tr>
        <w:trPr>
          <w:trHeight w:val="220"/>
        </w:trPr>
        <w:tc>
          <w:tcPr>
            <w:tcW w:w="7460" w:type="dxa"/>
            <w:vAlign w:val="bottom"/>
          </w:tcPr>
          <w:p>
            <w:pPr>
              <w:ind w:left="20"/>
              <w:spacing w:after="0"/>
              <w:rPr>
                <w:sz w:val="20"/>
                <w:szCs w:val="20"/>
                <w:color w:val="auto"/>
              </w:rPr>
            </w:pPr>
            <w:r>
              <w:rPr>
                <w:rFonts w:ascii="Calibri" w:cs="Calibri" w:eastAsia="Calibri" w:hAnsi="Calibri"/>
                <w:sz w:val="18"/>
                <w:szCs w:val="18"/>
                <w:color w:val="auto"/>
              </w:rPr>
              <w:t>Cash and cash equivalents, beginning of period</w:t>
            </w:r>
          </w:p>
        </w:tc>
        <w:tc>
          <w:tcPr>
            <w:tcW w:w="1080" w:type="dxa"/>
            <w:vAlign w:val="bottom"/>
          </w:tcPr>
          <w:p>
            <w:pPr>
              <w:spacing w:after="0"/>
              <w:rPr>
                <w:sz w:val="19"/>
                <w:szCs w:val="19"/>
                <w:color w:val="auto"/>
              </w:rPr>
            </w:pPr>
          </w:p>
        </w:tc>
        <w:tc>
          <w:tcPr>
            <w:tcW w:w="620" w:type="dxa"/>
            <w:vAlign w:val="bottom"/>
          </w:tcPr>
          <w:p>
            <w:pPr>
              <w:jc w:val="right"/>
              <w:spacing w:after="0" w:line="215" w:lineRule="exact"/>
              <w:rPr>
                <w:sz w:val="20"/>
                <w:szCs w:val="20"/>
                <w:color w:val="auto"/>
              </w:rPr>
            </w:pPr>
            <w:r>
              <w:rPr>
                <w:rFonts w:ascii="Calibri" w:cs="Calibri" w:eastAsia="Calibri" w:hAnsi="Calibri"/>
                <w:sz w:val="18"/>
                <w:szCs w:val="18"/>
                <w:color w:val="auto"/>
              </w:rPr>
              <w:t>29,698</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0" w:type="dxa"/>
            <w:vAlign w:val="bottom"/>
          </w:tcPr>
          <w:p>
            <w:pPr>
              <w:jc w:val="right"/>
              <w:spacing w:after="0" w:line="215" w:lineRule="exact"/>
              <w:rPr>
                <w:sz w:val="20"/>
                <w:szCs w:val="20"/>
                <w:color w:val="auto"/>
              </w:rPr>
            </w:pPr>
            <w:r>
              <w:rPr>
                <w:rFonts w:ascii="Calibri" w:cs="Calibri" w:eastAsia="Calibri" w:hAnsi="Calibri"/>
                <w:sz w:val="18"/>
                <w:szCs w:val="18"/>
                <w:color w:val="auto"/>
              </w:rPr>
              <w:t>21,950</w:t>
            </w:r>
          </w:p>
        </w:tc>
        <w:tc>
          <w:tcPr>
            <w:tcW w:w="100" w:type="dxa"/>
            <w:vAlign w:val="bottom"/>
          </w:tcPr>
          <w:p>
            <w:pPr>
              <w:spacing w:after="0"/>
              <w:rPr>
                <w:sz w:val="19"/>
                <w:szCs w:val="19"/>
                <w:color w:val="auto"/>
              </w:rPr>
            </w:pPr>
          </w:p>
        </w:tc>
      </w:tr>
      <w:tr>
        <w:trPr>
          <w:trHeight w:val="23"/>
        </w:trPr>
        <w:tc>
          <w:tcPr>
            <w:tcW w:w="74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76"/>
        </w:trPr>
        <w:tc>
          <w:tcPr>
            <w:tcW w:w="746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8"/>
                <w:szCs w:val="18"/>
                <w:color w:val="auto"/>
              </w:rPr>
              <w:t>Cash and cash equivalents, end of period</w:t>
            </w:r>
          </w:p>
        </w:tc>
        <w:tc>
          <w:tcPr>
            <w:tcW w:w="1080" w:type="dxa"/>
            <w:vAlign w:val="bottom"/>
            <w:tcBorders>
              <w:bottom w:val="single" w:sz="8" w:color="auto"/>
            </w:tcBorders>
            <w:shd w:val="clear" w:color="auto" w:fill="CFF0FC"/>
          </w:tcPr>
          <w:p>
            <w:pPr>
              <w:jc w:val="right"/>
              <w:ind w:right="895"/>
              <w:spacing w:after="0" w:line="215" w:lineRule="exact"/>
              <w:rPr>
                <w:sz w:val="20"/>
                <w:szCs w:val="20"/>
                <w:color w:val="auto"/>
              </w:rPr>
            </w:pPr>
            <w:r>
              <w:rPr>
                <w:rFonts w:ascii="Calibri" w:cs="Calibri" w:eastAsia="Calibri" w:hAnsi="Calibri"/>
                <w:sz w:val="18"/>
                <w:szCs w:val="18"/>
                <w:color w:val="auto"/>
                <w:w w:val="87"/>
              </w:rPr>
              <w:t>$</w:t>
            </w:r>
          </w:p>
        </w:tc>
        <w:tc>
          <w:tcPr>
            <w:tcW w:w="62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23,463</w:t>
            </w:r>
          </w:p>
        </w:tc>
        <w:tc>
          <w:tcPr>
            <w:tcW w:w="300" w:type="dxa"/>
            <w:vAlign w:val="bottom"/>
            <w:tcBorders>
              <w:bottom w:val="single" w:sz="8" w:color="CFF0FC"/>
            </w:tcBorders>
            <w:shd w:val="clear" w:color="auto" w:fill="CFF0FC"/>
          </w:tcPr>
          <w:p>
            <w:pPr>
              <w:spacing w:after="0"/>
              <w:rPr>
                <w:sz w:val="24"/>
                <w:szCs w:val="24"/>
                <w:color w:val="auto"/>
              </w:rPr>
            </w:pPr>
          </w:p>
        </w:tc>
        <w:tc>
          <w:tcPr>
            <w:tcW w:w="1080" w:type="dxa"/>
            <w:vAlign w:val="bottom"/>
            <w:tcBorders>
              <w:bottom w:val="single" w:sz="8" w:color="auto"/>
            </w:tcBorders>
            <w:shd w:val="clear" w:color="auto" w:fill="CFF0FC"/>
          </w:tcPr>
          <w:p>
            <w:pPr>
              <w:jc w:val="right"/>
              <w:ind w:right="892"/>
              <w:spacing w:after="0" w:line="215" w:lineRule="exact"/>
              <w:rPr>
                <w:sz w:val="20"/>
                <w:szCs w:val="20"/>
                <w:color w:val="auto"/>
              </w:rPr>
            </w:pPr>
            <w:r>
              <w:rPr>
                <w:rFonts w:ascii="Calibri" w:cs="Calibri" w:eastAsia="Calibri" w:hAnsi="Calibri"/>
                <w:sz w:val="18"/>
                <w:szCs w:val="18"/>
                <w:color w:val="auto"/>
                <w:w w:val="87"/>
              </w:rPr>
              <w:t>$</w:t>
            </w:r>
          </w:p>
        </w:tc>
        <w:tc>
          <w:tcPr>
            <w:tcW w:w="60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18,711</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195"/>
        </w:trPr>
        <w:tc>
          <w:tcPr>
            <w:tcW w:w="7460" w:type="dxa"/>
            <w:vAlign w:val="bottom"/>
          </w:tcPr>
          <w:p>
            <w:pPr>
              <w:ind w:left="20"/>
              <w:spacing w:after="0" w:line="196" w:lineRule="exact"/>
              <w:rPr>
                <w:sz w:val="20"/>
                <w:szCs w:val="20"/>
                <w:color w:val="auto"/>
              </w:rPr>
            </w:pPr>
            <w:r>
              <w:rPr>
                <w:rFonts w:ascii="Calibri" w:cs="Calibri" w:eastAsia="Calibri" w:hAnsi="Calibri"/>
                <w:sz w:val="18"/>
                <w:szCs w:val="18"/>
                <w:color w:val="auto"/>
              </w:rPr>
              <w:t>Supplemental disclosure of cash fow informaton</w:t>
            </w:r>
          </w:p>
        </w:tc>
        <w:tc>
          <w:tcPr>
            <w:tcW w:w="10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8"/>
        </w:trPr>
        <w:tc>
          <w:tcPr>
            <w:tcW w:w="74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460" w:type="dxa"/>
            <w:vAlign w:val="bottom"/>
            <w:tcBorders>
              <w:bottom w:val="single" w:sz="8" w:color="CFF0FC"/>
            </w:tcBorders>
            <w:shd w:val="clear" w:color="auto" w:fill="CFF0FC"/>
          </w:tcPr>
          <w:p>
            <w:pPr>
              <w:ind w:left="300"/>
              <w:spacing w:after="0" w:line="215" w:lineRule="exact"/>
              <w:rPr>
                <w:sz w:val="20"/>
                <w:szCs w:val="20"/>
                <w:color w:val="auto"/>
              </w:rPr>
            </w:pPr>
            <w:r>
              <w:rPr>
                <w:rFonts w:ascii="Calibri" w:cs="Calibri" w:eastAsia="Calibri" w:hAnsi="Calibri"/>
                <w:sz w:val="18"/>
                <w:szCs w:val="18"/>
                <w:color w:val="auto"/>
              </w:rPr>
              <w:t>Cash paid for:</w:t>
            </w:r>
          </w:p>
        </w:tc>
        <w:tc>
          <w:tcPr>
            <w:tcW w:w="108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15"/>
        </w:trPr>
        <w:tc>
          <w:tcPr>
            <w:tcW w:w="7460" w:type="dxa"/>
            <w:vAlign w:val="bottom"/>
          </w:tcPr>
          <w:p>
            <w:pPr>
              <w:ind w:left="380"/>
              <w:spacing w:after="0" w:line="215" w:lineRule="exact"/>
              <w:rPr>
                <w:sz w:val="20"/>
                <w:szCs w:val="20"/>
                <w:color w:val="auto"/>
              </w:rPr>
            </w:pPr>
            <w:r>
              <w:rPr>
                <w:rFonts w:ascii="Calibri" w:cs="Calibri" w:eastAsia="Calibri" w:hAnsi="Calibri"/>
                <w:sz w:val="18"/>
                <w:szCs w:val="18"/>
                <w:color w:val="auto"/>
              </w:rPr>
              <w:t>Interest</w:t>
            </w:r>
          </w:p>
        </w:tc>
        <w:tc>
          <w:tcPr>
            <w:tcW w:w="1080" w:type="dxa"/>
            <w:vAlign w:val="bottom"/>
          </w:tcPr>
          <w:p>
            <w:pPr>
              <w:jc w:val="right"/>
              <w:ind w:right="895"/>
              <w:spacing w:after="0" w:line="215" w:lineRule="exact"/>
              <w:rPr>
                <w:sz w:val="20"/>
                <w:szCs w:val="20"/>
                <w:color w:val="auto"/>
              </w:rPr>
            </w:pPr>
            <w:r>
              <w:rPr>
                <w:rFonts w:ascii="Calibri" w:cs="Calibri" w:eastAsia="Calibri" w:hAnsi="Calibri"/>
                <w:sz w:val="18"/>
                <w:szCs w:val="18"/>
                <w:color w:val="auto"/>
                <w:w w:val="87"/>
              </w:rPr>
              <w:t>$</w:t>
            </w:r>
          </w:p>
        </w:tc>
        <w:tc>
          <w:tcPr>
            <w:tcW w:w="620" w:type="dxa"/>
            <w:vAlign w:val="bottom"/>
          </w:tcPr>
          <w:p>
            <w:pPr>
              <w:jc w:val="right"/>
              <w:spacing w:after="0" w:line="215" w:lineRule="exact"/>
              <w:rPr>
                <w:sz w:val="20"/>
                <w:szCs w:val="20"/>
                <w:color w:val="auto"/>
              </w:rPr>
            </w:pPr>
            <w:r>
              <w:rPr>
                <w:rFonts w:ascii="Calibri" w:cs="Calibri" w:eastAsia="Calibri" w:hAnsi="Calibri"/>
                <w:sz w:val="18"/>
                <w:szCs w:val="18"/>
                <w:color w:val="auto"/>
              </w:rPr>
              <w:t>42</w:t>
            </w:r>
          </w:p>
        </w:tc>
        <w:tc>
          <w:tcPr>
            <w:tcW w:w="300" w:type="dxa"/>
            <w:vAlign w:val="bottom"/>
          </w:tcPr>
          <w:p>
            <w:pPr>
              <w:spacing w:after="0"/>
              <w:rPr>
                <w:sz w:val="18"/>
                <w:szCs w:val="18"/>
                <w:color w:val="auto"/>
              </w:rPr>
            </w:pPr>
          </w:p>
        </w:tc>
        <w:tc>
          <w:tcPr>
            <w:tcW w:w="1080" w:type="dxa"/>
            <w:vAlign w:val="bottom"/>
          </w:tcPr>
          <w:p>
            <w:pPr>
              <w:jc w:val="right"/>
              <w:ind w:right="892"/>
              <w:spacing w:after="0" w:line="215" w:lineRule="exact"/>
              <w:rPr>
                <w:sz w:val="20"/>
                <w:szCs w:val="20"/>
                <w:color w:val="auto"/>
              </w:rPr>
            </w:pPr>
            <w:r>
              <w:rPr>
                <w:rFonts w:ascii="Calibri" w:cs="Calibri" w:eastAsia="Calibri" w:hAnsi="Calibri"/>
                <w:sz w:val="18"/>
                <w:szCs w:val="18"/>
                <w:color w:val="auto"/>
                <w:w w:val="87"/>
              </w:rPr>
              <w:t>$</w:t>
            </w:r>
          </w:p>
        </w:tc>
        <w:tc>
          <w:tcPr>
            <w:tcW w:w="600" w:type="dxa"/>
            <w:vAlign w:val="bottom"/>
          </w:tcPr>
          <w:p>
            <w:pPr>
              <w:jc w:val="right"/>
              <w:spacing w:after="0" w:line="215" w:lineRule="exact"/>
              <w:rPr>
                <w:sz w:val="20"/>
                <w:szCs w:val="20"/>
                <w:color w:val="auto"/>
              </w:rPr>
            </w:pPr>
            <w:r>
              <w:rPr>
                <w:rFonts w:ascii="Calibri" w:cs="Calibri" w:eastAsia="Calibri" w:hAnsi="Calibri"/>
                <w:sz w:val="18"/>
                <w:szCs w:val="18"/>
                <w:color w:val="auto"/>
              </w:rPr>
              <w:t>117</w:t>
            </w:r>
          </w:p>
        </w:tc>
        <w:tc>
          <w:tcPr>
            <w:tcW w:w="100" w:type="dxa"/>
            <w:vAlign w:val="bottom"/>
          </w:tcPr>
          <w:p>
            <w:pPr>
              <w:spacing w:after="0"/>
              <w:rPr>
                <w:sz w:val="18"/>
                <w:szCs w:val="18"/>
                <w:color w:val="auto"/>
              </w:rPr>
            </w:pPr>
          </w:p>
        </w:tc>
      </w:tr>
      <w:tr>
        <w:trPr>
          <w:trHeight w:val="28"/>
        </w:trPr>
        <w:tc>
          <w:tcPr>
            <w:tcW w:w="74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460" w:type="dxa"/>
            <w:vAlign w:val="bottom"/>
            <w:tcBorders>
              <w:bottom w:val="single" w:sz="8" w:color="CFF0FC"/>
            </w:tcBorders>
            <w:shd w:val="clear" w:color="auto" w:fill="CFF0FC"/>
          </w:tcPr>
          <w:p>
            <w:pPr>
              <w:ind w:left="380"/>
              <w:spacing w:after="0" w:line="215" w:lineRule="exact"/>
              <w:rPr>
                <w:sz w:val="20"/>
                <w:szCs w:val="20"/>
                <w:color w:val="auto"/>
              </w:rPr>
            </w:pPr>
            <w:r>
              <w:rPr>
                <w:rFonts w:ascii="Calibri" w:cs="Calibri" w:eastAsia="Calibri" w:hAnsi="Calibri"/>
                <w:sz w:val="18"/>
                <w:szCs w:val="18"/>
                <w:color w:val="auto"/>
              </w:rPr>
              <w:t>Income taxes (net of refunds)</w:t>
            </w:r>
          </w:p>
        </w:tc>
        <w:tc>
          <w:tcPr>
            <w:tcW w:w="1080" w:type="dxa"/>
            <w:vAlign w:val="bottom"/>
            <w:tcBorders>
              <w:bottom w:val="single" w:sz="8" w:color="CFF0FC"/>
            </w:tcBorders>
            <w:shd w:val="clear" w:color="auto" w:fill="CFF0FC"/>
          </w:tcPr>
          <w:p>
            <w:pPr>
              <w:jc w:val="right"/>
              <w:ind w:right="895"/>
              <w:spacing w:after="0" w:line="215" w:lineRule="exact"/>
              <w:rPr>
                <w:sz w:val="20"/>
                <w:szCs w:val="20"/>
                <w:color w:val="auto"/>
              </w:rPr>
            </w:pPr>
            <w:r>
              <w:rPr>
                <w:rFonts w:ascii="Calibri" w:cs="Calibri" w:eastAsia="Calibri" w:hAnsi="Calibri"/>
                <w:sz w:val="18"/>
                <w:szCs w:val="18"/>
                <w:color w:val="auto"/>
                <w:w w:val="87"/>
              </w:rPr>
              <w:t>$</w:t>
            </w:r>
          </w:p>
        </w:tc>
        <w:tc>
          <w:tcPr>
            <w:tcW w:w="6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36</w:t>
            </w:r>
          </w:p>
        </w:tc>
        <w:tc>
          <w:tcPr>
            <w:tcW w:w="30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CFF0FC"/>
            </w:tcBorders>
            <w:shd w:val="clear" w:color="auto" w:fill="CFF0FC"/>
          </w:tcPr>
          <w:p>
            <w:pPr>
              <w:jc w:val="right"/>
              <w:ind w:right="892"/>
              <w:spacing w:after="0" w:line="215" w:lineRule="exact"/>
              <w:rPr>
                <w:sz w:val="20"/>
                <w:szCs w:val="20"/>
                <w:color w:val="auto"/>
              </w:rPr>
            </w:pPr>
            <w:r>
              <w:rPr>
                <w:rFonts w:ascii="Calibri" w:cs="Calibri" w:eastAsia="Calibri" w:hAnsi="Calibri"/>
                <w:sz w:val="18"/>
                <w:szCs w:val="18"/>
                <w:color w:val="auto"/>
                <w:w w:val="87"/>
              </w:rPr>
              <w:t>$</w:t>
            </w:r>
          </w:p>
        </w:tc>
        <w:tc>
          <w:tcPr>
            <w:tcW w:w="6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1479"/>
        </w:trPr>
        <w:tc>
          <w:tcPr>
            <w:tcW w:w="74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-3496945</wp:posOffset>
            </wp:positionV>
            <wp:extent cx="7683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-3496945</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-2862580</wp:posOffset>
            </wp:positionV>
            <wp:extent cx="768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-2862580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-2236470</wp:posOffset>
            </wp:positionV>
            <wp:extent cx="7683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-2236470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-1593850</wp:posOffset>
            </wp:positionV>
            <wp:extent cx="7683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-1576705</wp:posOffset>
            </wp:positionV>
            <wp:extent cx="7683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-1593850</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-1576705</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10" w:name="page11"/>
    <w:bookmarkEnd w:id="10"/>
    <w:p>
      <w:pPr>
        <w:jc w:val="right"/>
        <w:ind w:right="20"/>
        <w:spacing w:after="0"/>
        <w:rPr>
          <w:sz w:val="20"/>
          <w:szCs w:val="20"/>
          <w:color w:val="auto"/>
        </w:rPr>
      </w:pPr>
      <w:r>
        <w:rPr>
          <w:rFonts w:ascii="Calibri" w:cs="Calibri" w:eastAsia="Calibri" w:hAnsi="Calibri"/>
          <w:sz w:val="20"/>
          <w:szCs w:val="20"/>
          <w:color w:val="auto"/>
        </w:rPr>
        <w:t>1800 N Route 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-132715</wp:posOffset>
            </wp:positionV>
            <wp:extent cx="3145790" cy="5143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145790" cy="514350"/>
                    </a:xfrm>
                    <a:prstGeom prst="rect">
                      <a:avLst/>
                    </a:prstGeom>
                    <a:noFill/>
                  </pic:spPr>
                </pic:pic>
              </a:graphicData>
            </a:graphic>
          </wp:anchor>
        </w:drawing>
      </w:r>
    </w:p>
    <w:p>
      <w:pPr>
        <w:jc w:val="right"/>
        <w:ind w:right="20"/>
        <w:spacing w:after="0"/>
        <w:rPr>
          <w:sz w:val="20"/>
          <w:szCs w:val="20"/>
          <w:color w:val="auto"/>
        </w:rPr>
      </w:pPr>
      <w:r>
        <w:rPr>
          <w:rFonts w:ascii="Calibri" w:cs="Calibri" w:eastAsia="Calibri" w:hAnsi="Calibri"/>
          <w:sz w:val="20"/>
          <w:szCs w:val="20"/>
          <w:color w:val="auto"/>
        </w:rPr>
        <w:t>Columbia, MO 65202</w:t>
      </w:r>
    </w:p>
    <w:p>
      <w:pPr>
        <w:spacing w:after="0" w:line="12" w:lineRule="exact"/>
        <w:rPr>
          <w:sz w:val="20"/>
          <w:szCs w:val="20"/>
          <w:color w:val="auto"/>
        </w:rPr>
      </w:pPr>
    </w:p>
    <w:p>
      <w:pPr>
        <w:jc w:val="right"/>
        <w:ind w:right="20"/>
        <w:spacing w:after="0"/>
        <w:rPr>
          <w:sz w:val="20"/>
          <w:szCs w:val="20"/>
          <w:color w:val="auto"/>
        </w:rPr>
      </w:pPr>
      <w:r>
        <w:rPr>
          <w:rFonts w:ascii="Calibri" w:cs="Calibri" w:eastAsia="Calibri" w:hAnsi="Calibri"/>
          <w:sz w:val="20"/>
          <w:szCs w:val="20"/>
          <w:color w:val="auto"/>
        </w:rPr>
        <w:t>(800) 338-9585</w:t>
      </w:r>
    </w:p>
    <w:p>
      <w:pPr>
        <w:spacing w:after="0" w:line="12" w:lineRule="exact"/>
        <w:rPr>
          <w:sz w:val="20"/>
          <w:szCs w:val="20"/>
          <w:color w:val="auto"/>
        </w:rPr>
      </w:pPr>
    </w:p>
    <w:p>
      <w:pPr>
        <w:jc w:val="right"/>
        <w:ind w:right="20"/>
        <w:spacing w:after="0"/>
        <w:rPr>
          <w:sz w:val="20"/>
          <w:szCs w:val="20"/>
          <w:color w:val="auto"/>
        </w:rPr>
      </w:pPr>
      <w:r>
        <w:rPr>
          <w:rFonts w:ascii="Calibri" w:cs="Calibri" w:eastAsia="Calibri" w:hAnsi="Calibri"/>
          <w:sz w:val="20"/>
          <w:szCs w:val="20"/>
          <w:color w:val="auto"/>
        </w:rPr>
        <w:t>NASDAQ: AOUT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60" w:type="dxa"/>
            <w:vAlign w:val="bottom"/>
          </w:tcPr>
          <w:p>
            <w:pPr>
              <w:spacing w:after="0"/>
              <w:rPr>
                <w:sz w:val="14"/>
                <w:szCs w:val="14"/>
                <w:color w:val="auto"/>
              </w:rPr>
            </w:pPr>
          </w:p>
        </w:tc>
        <w:tc>
          <w:tcPr>
            <w:tcW w:w="4560" w:type="dxa"/>
            <w:vAlign w:val="bottom"/>
            <w:gridSpan w:val="2"/>
          </w:tcPr>
          <w:p>
            <w:pPr>
              <w:jc w:val="center"/>
              <w:ind w:left="908"/>
              <w:spacing w:after="0"/>
              <w:rPr>
                <w:sz w:val="20"/>
                <w:szCs w:val="20"/>
                <w:color w:val="auto"/>
              </w:rPr>
            </w:pPr>
            <w:r>
              <w:rPr>
                <w:rFonts w:ascii="Calibri" w:cs="Calibri" w:eastAsia="Calibri" w:hAnsi="Calibri"/>
                <w:sz w:val="14"/>
                <w:szCs w:val="14"/>
                <w:b w:val="1"/>
                <w:bCs w:val="1"/>
                <w:color w:val="auto"/>
              </w:rPr>
              <w:t>AMERICAN OUTDOOR BRANDS, INC. AND SUBSIDIARIES</w:t>
            </w: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76"/>
        </w:trPr>
        <w:tc>
          <w:tcPr>
            <w:tcW w:w="2860" w:type="dxa"/>
            <w:vAlign w:val="bottom"/>
          </w:tcPr>
          <w:p>
            <w:pPr>
              <w:spacing w:after="0"/>
              <w:rPr>
                <w:sz w:val="15"/>
                <w:szCs w:val="15"/>
                <w:color w:val="auto"/>
              </w:rPr>
            </w:pPr>
          </w:p>
        </w:tc>
        <w:tc>
          <w:tcPr>
            <w:tcW w:w="5860" w:type="dxa"/>
            <w:vAlign w:val="bottom"/>
            <w:gridSpan w:val="4"/>
          </w:tcPr>
          <w:p>
            <w:pPr>
              <w:jc w:val="center"/>
              <w:ind w:right="360"/>
              <w:spacing w:after="0"/>
              <w:rPr>
                <w:sz w:val="20"/>
                <w:szCs w:val="20"/>
                <w:color w:val="auto"/>
              </w:rPr>
            </w:pPr>
            <w:r>
              <w:rPr>
                <w:rFonts w:ascii="Calibri" w:cs="Calibri" w:eastAsia="Calibri" w:hAnsi="Calibri"/>
                <w:sz w:val="14"/>
                <w:szCs w:val="14"/>
                <w:b w:val="1"/>
                <w:bCs w:val="1"/>
                <w:color w:val="auto"/>
              </w:rPr>
              <w:t>RECONCILIATION OF GAAP FINANCIAL MEASURES TO NON-GAAP FINANCIAL MEASURES</w:t>
            </w:r>
          </w:p>
        </w:tc>
        <w:tc>
          <w:tcPr>
            <w:tcW w:w="8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80" w:type="dxa"/>
            <w:vAlign w:val="bottom"/>
          </w:tcPr>
          <w:p>
            <w:pPr>
              <w:spacing w:after="0"/>
              <w:rPr>
                <w:sz w:val="15"/>
                <w:szCs w:val="15"/>
                <w:color w:val="auto"/>
              </w:rPr>
            </w:pPr>
          </w:p>
        </w:tc>
      </w:tr>
      <w:tr>
        <w:trPr>
          <w:trHeight w:val="176"/>
        </w:trPr>
        <w:tc>
          <w:tcPr>
            <w:tcW w:w="2860" w:type="dxa"/>
            <w:vAlign w:val="bottom"/>
          </w:tcPr>
          <w:p>
            <w:pPr>
              <w:spacing w:after="0"/>
              <w:rPr>
                <w:sz w:val="15"/>
                <w:szCs w:val="15"/>
                <w:color w:val="auto"/>
              </w:rPr>
            </w:pPr>
          </w:p>
        </w:tc>
        <w:tc>
          <w:tcPr>
            <w:tcW w:w="4560" w:type="dxa"/>
            <w:vAlign w:val="bottom"/>
            <w:gridSpan w:val="2"/>
          </w:tcPr>
          <w:p>
            <w:pPr>
              <w:jc w:val="center"/>
              <w:ind w:left="908"/>
              <w:spacing w:after="0"/>
              <w:rPr>
                <w:sz w:val="20"/>
                <w:szCs w:val="20"/>
                <w:color w:val="auto"/>
              </w:rPr>
            </w:pPr>
            <w:r>
              <w:rPr>
                <w:rFonts w:ascii="Calibri" w:cs="Calibri" w:eastAsia="Calibri" w:hAnsi="Calibri"/>
                <w:sz w:val="14"/>
                <w:szCs w:val="14"/>
                <w:b w:val="1"/>
                <w:bCs w:val="1"/>
                <w:color w:val="auto"/>
              </w:rPr>
              <w:t>(In thousands, except per share data)</w:t>
            </w: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80" w:type="dxa"/>
            <w:vAlign w:val="bottom"/>
          </w:tcPr>
          <w:p>
            <w:pPr>
              <w:spacing w:after="0"/>
              <w:rPr>
                <w:sz w:val="15"/>
                <w:szCs w:val="15"/>
                <w:color w:val="auto"/>
              </w:rPr>
            </w:pPr>
          </w:p>
        </w:tc>
      </w:tr>
      <w:tr>
        <w:trPr>
          <w:trHeight w:val="175"/>
        </w:trPr>
        <w:tc>
          <w:tcPr>
            <w:tcW w:w="2860" w:type="dxa"/>
            <w:vAlign w:val="bottom"/>
          </w:tcPr>
          <w:p>
            <w:pPr>
              <w:spacing w:after="0"/>
              <w:rPr>
                <w:sz w:val="15"/>
                <w:szCs w:val="15"/>
                <w:color w:val="auto"/>
              </w:rPr>
            </w:pPr>
          </w:p>
        </w:tc>
        <w:tc>
          <w:tcPr>
            <w:tcW w:w="4560" w:type="dxa"/>
            <w:vAlign w:val="bottom"/>
            <w:gridSpan w:val="2"/>
          </w:tcPr>
          <w:p>
            <w:pPr>
              <w:jc w:val="center"/>
              <w:ind w:left="888"/>
              <w:spacing w:after="0"/>
              <w:rPr>
                <w:sz w:val="20"/>
                <w:szCs w:val="20"/>
                <w:color w:val="auto"/>
              </w:rPr>
            </w:pPr>
            <w:r>
              <w:rPr>
                <w:rFonts w:ascii="Calibri" w:cs="Calibri" w:eastAsia="Calibri" w:hAnsi="Calibri"/>
                <w:sz w:val="14"/>
                <w:szCs w:val="14"/>
                <w:b w:val="1"/>
                <w:bCs w:val="1"/>
                <w:color w:val="auto"/>
              </w:rPr>
              <w:t>(Unaudited)</w:t>
            </w: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80" w:type="dxa"/>
            <w:vAlign w:val="bottom"/>
          </w:tcPr>
          <w:p>
            <w:pPr>
              <w:spacing w:after="0"/>
              <w:rPr>
                <w:sz w:val="15"/>
                <w:szCs w:val="15"/>
                <w:color w:val="auto"/>
              </w:rPr>
            </w:pPr>
          </w:p>
        </w:tc>
      </w:tr>
      <w:tr>
        <w:trPr>
          <w:trHeight w:val="203"/>
        </w:trPr>
        <w:tc>
          <w:tcPr>
            <w:tcW w:w="286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180" w:type="dxa"/>
            <w:vAlign w:val="bottom"/>
            <w:gridSpan w:val="3"/>
          </w:tcPr>
          <w:p>
            <w:pPr>
              <w:jc w:val="right"/>
              <w:spacing w:after="0"/>
              <w:rPr>
                <w:sz w:val="20"/>
                <w:szCs w:val="20"/>
                <w:color w:val="auto"/>
              </w:rPr>
            </w:pPr>
            <w:r>
              <w:rPr>
                <w:rFonts w:ascii="Calibri" w:cs="Calibri" w:eastAsia="Calibri" w:hAnsi="Calibri"/>
                <w:sz w:val="14"/>
                <w:szCs w:val="14"/>
                <w:b w:val="1"/>
                <w:bCs w:val="1"/>
                <w:color w:val="auto"/>
              </w:rPr>
              <w:t>For the Three Months Ended July 31,</w:t>
            </w:r>
          </w:p>
        </w:tc>
        <w:tc>
          <w:tcPr>
            <w:tcW w:w="116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33"/>
        </w:trPr>
        <w:tc>
          <w:tcPr>
            <w:tcW w:w="2860" w:type="dxa"/>
            <w:vAlign w:val="bottom"/>
          </w:tcPr>
          <w:p>
            <w:pPr>
              <w:spacing w:after="0"/>
              <w:rPr>
                <w:sz w:val="2"/>
                <w:szCs w:val="2"/>
                <w:color w:val="auto"/>
              </w:rPr>
            </w:pPr>
          </w:p>
        </w:tc>
        <w:tc>
          <w:tcPr>
            <w:tcW w:w="4560" w:type="dxa"/>
            <w:vAlign w:val="bottom"/>
            <w:gridSpan w:val="2"/>
          </w:tcPr>
          <w:p>
            <w:pPr>
              <w:spacing w:after="0"/>
              <w:rPr>
                <w:sz w:val="2"/>
                <w:szCs w:val="2"/>
                <w:color w:val="auto"/>
              </w:rPr>
            </w:pPr>
          </w:p>
        </w:tc>
        <w:tc>
          <w:tcPr>
            <w:tcW w:w="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163"/>
        </w:trPr>
        <w:tc>
          <w:tcPr>
            <w:tcW w:w="286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180" w:type="dxa"/>
            <w:vAlign w:val="bottom"/>
            <w:tcBorders>
              <w:top w:val="single" w:sz="8" w:color="auto"/>
            </w:tcBorders>
          </w:tcPr>
          <w:p>
            <w:pPr>
              <w:jc w:val="right"/>
              <w:spacing w:after="0" w:line="164" w:lineRule="exact"/>
              <w:rPr>
                <w:sz w:val="20"/>
                <w:szCs w:val="20"/>
                <w:color w:val="auto"/>
              </w:rPr>
            </w:pPr>
            <w:r>
              <w:rPr>
                <w:rFonts w:ascii="Calibri" w:cs="Calibri" w:eastAsia="Calibri" w:hAnsi="Calibri"/>
                <w:sz w:val="14"/>
                <w:szCs w:val="14"/>
                <w:b w:val="1"/>
                <w:bCs w:val="1"/>
                <w:color w:val="auto"/>
              </w:rPr>
              <w:t>2024</w:t>
            </w:r>
          </w:p>
        </w:tc>
        <w:tc>
          <w:tcPr>
            <w:tcW w:w="88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788"/>
              <w:spacing w:after="0" w:line="164" w:lineRule="exact"/>
              <w:rPr>
                <w:sz w:val="20"/>
                <w:szCs w:val="20"/>
                <w:color w:val="auto"/>
              </w:rPr>
            </w:pPr>
            <w:r>
              <w:rPr>
                <w:rFonts w:ascii="Calibri" w:cs="Calibri" w:eastAsia="Calibri" w:hAnsi="Calibri"/>
                <w:sz w:val="14"/>
                <w:szCs w:val="14"/>
                <w:b w:val="1"/>
                <w:bCs w:val="1"/>
                <w:color w:val="auto"/>
                <w:w w:val="98"/>
              </w:rPr>
              <w:t>2023</w:t>
            </w:r>
          </w:p>
        </w:tc>
        <w:tc>
          <w:tcPr>
            <w:tcW w:w="480" w:type="dxa"/>
            <w:vAlign w:val="bottom"/>
          </w:tcPr>
          <w:p>
            <w:pPr>
              <w:spacing w:after="0"/>
              <w:rPr>
                <w:sz w:val="14"/>
                <w:szCs w:val="14"/>
                <w:color w:val="auto"/>
              </w:rPr>
            </w:pPr>
          </w:p>
        </w:tc>
      </w:tr>
      <w:tr>
        <w:trPr>
          <w:trHeight w:val="33"/>
        </w:trPr>
        <w:tc>
          <w:tcPr>
            <w:tcW w:w="286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80" w:type="dxa"/>
            <w:vAlign w:val="bottom"/>
          </w:tcPr>
          <w:p>
            <w:pPr>
              <w:spacing w:after="0"/>
              <w:rPr>
                <w:sz w:val="2"/>
                <w:szCs w:val="2"/>
                <w:color w:val="auto"/>
              </w:rPr>
            </w:pPr>
          </w:p>
        </w:tc>
      </w:tr>
      <w:tr>
        <w:trPr>
          <w:trHeight w:val="196"/>
        </w:trPr>
        <w:tc>
          <w:tcPr>
            <w:tcW w:w="286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183"/>
        </w:trPr>
        <w:tc>
          <w:tcPr>
            <w:tcW w:w="2860" w:type="dxa"/>
            <w:vAlign w:val="bottom"/>
            <w:tcBorders>
              <w:bottom w:val="single" w:sz="8" w:color="CCECFF"/>
            </w:tcBorders>
            <w:shd w:val="clear" w:color="auto" w:fill="CCECFF"/>
          </w:tcPr>
          <w:p>
            <w:pPr>
              <w:ind w:left="20"/>
              <w:spacing w:after="0"/>
              <w:rPr>
                <w:sz w:val="20"/>
                <w:szCs w:val="20"/>
                <w:color w:val="auto"/>
              </w:rPr>
            </w:pPr>
            <w:r>
              <w:rPr>
                <w:rFonts w:ascii="Calibri" w:cs="Calibri" w:eastAsia="Calibri" w:hAnsi="Calibri"/>
                <w:sz w:val="14"/>
                <w:szCs w:val="14"/>
                <w:color w:val="auto"/>
              </w:rPr>
              <w:t>GAAP gross proft</w:t>
            </w:r>
          </w:p>
        </w:tc>
        <w:tc>
          <w:tcPr>
            <w:tcW w:w="4560" w:type="dxa"/>
            <w:vAlign w:val="bottom"/>
            <w:tcBorders>
              <w:bottom w:val="single" w:sz="8" w:color="CCECFF"/>
            </w:tcBorders>
            <w:gridSpan w:val="2"/>
            <w:shd w:val="clear" w:color="auto" w:fill="CCECFF"/>
          </w:tcPr>
          <w:p>
            <w:pPr>
              <w:jc w:val="right"/>
              <w:ind w:right="1028"/>
              <w:spacing w:after="0"/>
              <w:rPr>
                <w:sz w:val="20"/>
                <w:szCs w:val="20"/>
                <w:color w:val="auto"/>
              </w:rPr>
            </w:pPr>
            <w:r>
              <w:rPr>
                <w:rFonts w:ascii="Calibri" w:cs="Calibri" w:eastAsia="Calibri" w:hAnsi="Calibri"/>
                <w:sz w:val="14"/>
                <w:szCs w:val="14"/>
                <w:color w:val="auto"/>
              </w:rPr>
              <w:t>$</w:t>
            </w:r>
          </w:p>
        </w:tc>
        <w:tc>
          <w:tcPr>
            <w:tcW w:w="880" w:type="dxa"/>
            <w:vAlign w:val="bottom"/>
            <w:tcBorders>
              <w:bottom w:val="single" w:sz="8" w:color="CCECFF"/>
            </w:tcBorders>
            <w:shd w:val="clear" w:color="auto" w:fill="CCECFF"/>
          </w:tcPr>
          <w:p>
            <w:pPr>
              <w:jc w:val="right"/>
              <w:spacing w:after="0"/>
              <w:rPr>
                <w:sz w:val="20"/>
                <w:szCs w:val="20"/>
                <w:color w:val="auto"/>
              </w:rPr>
            </w:pPr>
            <w:r>
              <w:rPr>
                <w:rFonts w:ascii="Calibri" w:cs="Calibri" w:eastAsia="Calibri" w:hAnsi="Calibri"/>
                <w:sz w:val="14"/>
                <w:szCs w:val="14"/>
                <w:color w:val="auto"/>
              </w:rPr>
              <w:t>18,926</w:t>
            </w:r>
          </w:p>
        </w:tc>
        <w:tc>
          <w:tcPr>
            <w:tcW w:w="420" w:type="dxa"/>
            <w:vAlign w:val="bottom"/>
            <w:tcBorders>
              <w:bottom w:val="single" w:sz="8" w:color="CCECFF"/>
            </w:tcBorders>
            <w:shd w:val="clear" w:color="auto" w:fill="CCECFF"/>
          </w:tcPr>
          <w:p>
            <w:pPr>
              <w:spacing w:after="0"/>
              <w:rPr>
                <w:sz w:val="15"/>
                <w:szCs w:val="15"/>
                <w:color w:val="auto"/>
              </w:rPr>
            </w:pPr>
          </w:p>
        </w:tc>
        <w:tc>
          <w:tcPr>
            <w:tcW w:w="880" w:type="dxa"/>
            <w:vAlign w:val="bottom"/>
            <w:tcBorders>
              <w:bottom w:val="single" w:sz="8" w:color="CCECFF"/>
            </w:tcBorders>
            <w:shd w:val="clear" w:color="auto" w:fill="CCECFF"/>
          </w:tcPr>
          <w:p>
            <w:pPr>
              <w:jc w:val="right"/>
              <w:ind w:right="708"/>
              <w:spacing w:after="0"/>
              <w:rPr>
                <w:sz w:val="20"/>
                <w:szCs w:val="20"/>
                <w:color w:val="auto"/>
              </w:rPr>
            </w:pPr>
            <w:r>
              <w:rPr>
                <w:rFonts w:ascii="Calibri" w:cs="Calibri" w:eastAsia="Calibri" w:hAnsi="Calibri"/>
                <w:sz w:val="14"/>
                <w:szCs w:val="14"/>
                <w:color w:val="auto"/>
              </w:rPr>
              <w:t>$</w:t>
            </w:r>
          </w:p>
        </w:tc>
        <w:tc>
          <w:tcPr>
            <w:tcW w:w="1160" w:type="dxa"/>
            <w:vAlign w:val="bottom"/>
            <w:tcBorders>
              <w:bottom w:val="single" w:sz="8" w:color="CCECFF"/>
            </w:tcBorders>
            <w:shd w:val="clear" w:color="auto" w:fill="CCECFF"/>
          </w:tcPr>
          <w:p>
            <w:pPr>
              <w:jc w:val="right"/>
              <w:spacing w:after="0"/>
              <w:rPr>
                <w:sz w:val="20"/>
                <w:szCs w:val="20"/>
                <w:color w:val="auto"/>
              </w:rPr>
            </w:pPr>
            <w:r>
              <w:rPr>
                <w:rFonts w:ascii="Calibri" w:cs="Calibri" w:eastAsia="Calibri" w:hAnsi="Calibri"/>
                <w:sz w:val="14"/>
                <w:szCs w:val="14"/>
                <w:color w:val="auto"/>
              </w:rPr>
              <w:t>19,719</w:t>
            </w:r>
          </w:p>
        </w:tc>
        <w:tc>
          <w:tcPr>
            <w:tcW w:w="480" w:type="dxa"/>
            <w:vAlign w:val="bottom"/>
            <w:tcBorders>
              <w:bottom w:val="single" w:sz="8" w:color="CCECFF"/>
            </w:tcBorders>
            <w:shd w:val="clear" w:color="auto" w:fill="CCECFF"/>
          </w:tcPr>
          <w:p>
            <w:pPr>
              <w:spacing w:after="0"/>
              <w:rPr>
                <w:sz w:val="15"/>
                <w:szCs w:val="15"/>
                <w:color w:val="auto"/>
              </w:rPr>
            </w:pPr>
          </w:p>
        </w:tc>
      </w:tr>
      <w:tr>
        <w:trPr>
          <w:trHeight w:val="170"/>
        </w:trPr>
        <w:tc>
          <w:tcPr>
            <w:tcW w:w="2860" w:type="dxa"/>
            <w:vAlign w:val="bottom"/>
          </w:tcPr>
          <w:p>
            <w:pPr>
              <w:ind w:left="160"/>
              <w:spacing w:after="0"/>
              <w:rPr>
                <w:sz w:val="20"/>
                <w:szCs w:val="20"/>
                <w:color w:val="auto"/>
              </w:rPr>
            </w:pPr>
            <w:r>
              <w:rPr>
                <w:rFonts w:ascii="Calibri" w:cs="Calibri" w:eastAsia="Calibri" w:hAnsi="Calibri"/>
                <w:sz w:val="14"/>
                <w:szCs w:val="14"/>
                <w:color w:val="auto"/>
              </w:rPr>
              <w:t>Non-recurring inventory reserve adjustment</w:t>
            </w:r>
          </w:p>
        </w:tc>
        <w:tc>
          <w:tcPr>
            <w:tcW w:w="3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alibri" w:cs="Calibri" w:eastAsia="Calibri" w:hAnsi="Calibri"/>
                <w:sz w:val="14"/>
                <w:szCs w:val="14"/>
                <w:color w:val="auto"/>
              </w:rPr>
              <w:t>221</w:t>
            </w: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40" w:type="dxa"/>
            <w:vAlign w:val="bottom"/>
            <w:gridSpan w:val="2"/>
          </w:tcPr>
          <w:p>
            <w:pPr>
              <w:jc w:val="right"/>
              <w:ind w:right="480"/>
              <w:spacing w:after="0"/>
              <w:rPr>
                <w:sz w:val="20"/>
                <w:szCs w:val="20"/>
                <w:color w:val="auto"/>
              </w:rPr>
            </w:pPr>
            <w:r>
              <w:rPr>
                <w:rFonts w:ascii="Calibri" w:cs="Calibri" w:eastAsia="Calibri" w:hAnsi="Calibri"/>
                <w:sz w:val="14"/>
                <w:szCs w:val="14"/>
                <w:color w:val="auto"/>
              </w:rPr>
              <w:t>—</w:t>
            </w:r>
          </w:p>
        </w:tc>
      </w:tr>
      <w:tr>
        <w:trPr>
          <w:trHeight w:val="33"/>
        </w:trPr>
        <w:tc>
          <w:tcPr>
            <w:tcW w:w="2860" w:type="dxa"/>
            <w:vAlign w:val="bottom"/>
            <w:tcBorders>
              <w:bottom w:val="single" w:sz="8" w:color="CCECFF"/>
            </w:tcBorders>
          </w:tcPr>
          <w:p>
            <w:pPr>
              <w:spacing w:after="0"/>
              <w:rPr>
                <w:sz w:val="2"/>
                <w:szCs w:val="2"/>
                <w:color w:val="auto"/>
              </w:rPr>
            </w:pPr>
          </w:p>
        </w:tc>
        <w:tc>
          <w:tcPr>
            <w:tcW w:w="3380" w:type="dxa"/>
            <w:vAlign w:val="bottom"/>
            <w:tcBorders>
              <w:bottom w:val="single" w:sz="8" w:color="CCEC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20" w:type="dxa"/>
            <w:vAlign w:val="bottom"/>
            <w:tcBorders>
              <w:bottom w:val="single" w:sz="8" w:color="CCEC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80" w:type="dxa"/>
            <w:vAlign w:val="bottom"/>
            <w:tcBorders>
              <w:bottom w:val="single" w:sz="8" w:color="CCECFF"/>
            </w:tcBorders>
          </w:tcPr>
          <w:p>
            <w:pPr>
              <w:spacing w:after="0"/>
              <w:rPr>
                <w:sz w:val="2"/>
                <w:szCs w:val="2"/>
                <w:color w:val="auto"/>
              </w:rPr>
            </w:pPr>
          </w:p>
        </w:tc>
      </w:tr>
      <w:tr>
        <w:trPr>
          <w:trHeight w:val="236"/>
        </w:trPr>
        <w:tc>
          <w:tcPr>
            <w:tcW w:w="2860" w:type="dxa"/>
            <w:vAlign w:val="bottom"/>
            <w:tcBorders>
              <w:bottom w:val="single" w:sz="8" w:color="CCECFF"/>
            </w:tcBorders>
            <w:shd w:val="clear" w:color="auto" w:fill="CCECFF"/>
          </w:tcPr>
          <w:p>
            <w:pPr>
              <w:ind w:left="20"/>
              <w:spacing w:after="0"/>
              <w:rPr>
                <w:sz w:val="20"/>
                <w:szCs w:val="20"/>
                <w:color w:val="auto"/>
              </w:rPr>
            </w:pPr>
            <w:r>
              <w:rPr>
                <w:rFonts w:ascii="Calibri" w:cs="Calibri" w:eastAsia="Calibri" w:hAnsi="Calibri"/>
                <w:sz w:val="14"/>
                <w:szCs w:val="14"/>
                <w:color w:val="auto"/>
              </w:rPr>
              <w:t>Non-GAAP gross proft</w:t>
            </w:r>
          </w:p>
        </w:tc>
        <w:tc>
          <w:tcPr>
            <w:tcW w:w="3380" w:type="dxa"/>
            <w:vAlign w:val="bottom"/>
            <w:tcBorders>
              <w:bottom w:val="single" w:sz="8" w:color="CCECFF"/>
            </w:tcBorders>
            <w:shd w:val="clear" w:color="auto" w:fill="CCECFF"/>
          </w:tcPr>
          <w:p>
            <w:pPr>
              <w:spacing w:after="0"/>
              <w:rPr>
                <w:sz w:val="20"/>
                <w:szCs w:val="20"/>
                <w:color w:val="auto"/>
              </w:rPr>
            </w:pPr>
          </w:p>
        </w:tc>
        <w:tc>
          <w:tcPr>
            <w:tcW w:w="1180" w:type="dxa"/>
            <w:vAlign w:val="bottom"/>
            <w:tcBorders>
              <w:bottom w:val="single" w:sz="8" w:color="auto"/>
            </w:tcBorders>
            <w:shd w:val="clear" w:color="auto" w:fill="CCECFF"/>
          </w:tcPr>
          <w:p>
            <w:pPr>
              <w:jc w:val="right"/>
              <w:ind w:right="1028"/>
              <w:spacing w:after="0"/>
              <w:rPr>
                <w:sz w:val="20"/>
                <w:szCs w:val="20"/>
                <w:color w:val="auto"/>
              </w:rPr>
            </w:pPr>
            <w:r>
              <w:rPr>
                <w:rFonts w:ascii="Calibri" w:cs="Calibri" w:eastAsia="Calibri" w:hAnsi="Calibri"/>
                <w:sz w:val="14"/>
                <w:szCs w:val="14"/>
                <w:color w:val="auto"/>
                <w:w w:val="83"/>
              </w:rPr>
              <w:t>$</w:t>
            </w:r>
          </w:p>
        </w:tc>
        <w:tc>
          <w:tcPr>
            <w:tcW w:w="880" w:type="dxa"/>
            <w:vAlign w:val="bottom"/>
            <w:tcBorders>
              <w:bottom w:val="single" w:sz="8" w:color="auto"/>
            </w:tcBorders>
            <w:shd w:val="clear" w:color="auto" w:fill="CCECFF"/>
          </w:tcPr>
          <w:p>
            <w:pPr>
              <w:jc w:val="right"/>
              <w:spacing w:after="0"/>
              <w:rPr>
                <w:sz w:val="20"/>
                <w:szCs w:val="20"/>
                <w:color w:val="auto"/>
              </w:rPr>
            </w:pPr>
            <w:r>
              <w:rPr>
                <w:rFonts w:ascii="Calibri" w:cs="Calibri" w:eastAsia="Calibri" w:hAnsi="Calibri"/>
                <w:sz w:val="14"/>
                <w:szCs w:val="14"/>
                <w:color w:val="auto"/>
              </w:rPr>
              <w:t>19,147</w:t>
            </w:r>
          </w:p>
        </w:tc>
        <w:tc>
          <w:tcPr>
            <w:tcW w:w="420" w:type="dxa"/>
            <w:vAlign w:val="bottom"/>
            <w:tcBorders>
              <w:bottom w:val="single" w:sz="8" w:color="CCECFF"/>
            </w:tcBorders>
            <w:shd w:val="clear" w:color="auto" w:fill="CCECFF"/>
          </w:tcPr>
          <w:p>
            <w:pPr>
              <w:spacing w:after="0"/>
              <w:rPr>
                <w:sz w:val="20"/>
                <w:szCs w:val="20"/>
                <w:color w:val="auto"/>
              </w:rPr>
            </w:pPr>
          </w:p>
        </w:tc>
        <w:tc>
          <w:tcPr>
            <w:tcW w:w="880" w:type="dxa"/>
            <w:vAlign w:val="bottom"/>
            <w:tcBorders>
              <w:bottom w:val="single" w:sz="8" w:color="auto"/>
            </w:tcBorders>
            <w:shd w:val="clear" w:color="auto" w:fill="CCECFF"/>
          </w:tcPr>
          <w:p>
            <w:pPr>
              <w:jc w:val="right"/>
              <w:ind w:right="708"/>
              <w:spacing w:after="0"/>
              <w:rPr>
                <w:sz w:val="20"/>
                <w:szCs w:val="20"/>
                <w:color w:val="auto"/>
              </w:rPr>
            </w:pPr>
            <w:r>
              <w:rPr>
                <w:rFonts w:ascii="Calibri" w:cs="Calibri" w:eastAsia="Calibri" w:hAnsi="Calibri"/>
                <w:sz w:val="14"/>
                <w:szCs w:val="14"/>
                <w:color w:val="auto"/>
              </w:rPr>
              <w:t>$</w:t>
            </w:r>
          </w:p>
        </w:tc>
        <w:tc>
          <w:tcPr>
            <w:tcW w:w="1160" w:type="dxa"/>
            <w:vAlign w:val="bottom"/>
            <w:tcBorders>
              <w:bottom w:val="single" w:sz="8" w:color="auto"/>
            </w:tcBorders>
            <w:shd w:val="clear" w:color="auto" w:fill="CCECFF"/>
          </w:tcPr>
          <w:p>
            <w:pPr>
              <w:jc w:val="right"/>
              <w:spacing w:after="0"/>
              <w:rPr>
                <w:sz w:val="20"/>
                <w:szCs w:val="20"/>
                <w:color w:val="auto"/>
              </w:rPr>
            </w:pPr>
            <w:r>
              <w:rPr>
                <w:rFonts w:ascii="Calibri" w:cs="Calibri" w:eastAsia="Calibri" w:hAnsi="Calibri"/>
                <w:sz w:val="14"/>
                <w:szCs w:val="14"/>
                <w:color w:val="auto"/>
              </w:rPr>
              <w:t>19,719</w:t>
            </w:r>
          </w:p>
        </w:tc>
        <w:tc>
          <w:tcPr>
            <w:tcW w:w="480" w:type="dxa"/>
            <w:vAlign w:val="bottom"/>
            <w:tcBorders>
              <w:bottom w:val="single" w:sz="8" w:color="CCECFF"/>
            </w:tcBorders>
            <w:shd w:val="clear" w:color="auto" w:fill="CCECFF"/>
          </w:tcPr>
          <w:p>
            <w:pPr>
              <w:spacing w:after="0"/>
              <w:rPr>
                <w:sz w:val="20"/>
                <w:szCs w:val="20"/>
                <w:color w:val="auto"/>
              </w:rPr>
            </w:pPr>
          </w:p>
        </w:tc>
      </w:tr>
      <w:tr>
        <w:trPr>
          <w:trHeight w:val="75"/>
        </w:trPr>
        <w:tc>
          <w:tcPr>
            <w:tcW w:w="2860" w:type="dxa"/>
            <w:vAlign w:val="bottom"/>
          </w:tcPr>
          <w:p>
            <w:pPr>
              <w:spacing w:after="0"/>
              <w:rPr>
                <w:sz w:val="6"/>
                <w:szCs w:val="6"/>
                <w:color w:val="auto"/>
              </w:rPr>
            </w:pPr>
          </w:p>
        </w:tc>
        <w:tc>
          <w:tcPr>
            <w:tcW w:w="33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880" w:type="dxa"/>
            <w:vAlign w:val="bottom"/>
          </w:tcPr>
          <w:p>
            <w:pPr>
              <w:spacing w:after="0"/>
              <w:rPr>
                <w:sz w:val="6"/>
                <w:szCs w:val="6"/>
                <w:color w:val="auto"/>
              </w:rPr>
            </w:pPr>
          </w:p>
        </w:tc>
        <w:tc>
          <w:tcPr>
            <w:tcW w:w="4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480" w:type="dxa"/>
            <w:vAlign w:val="bottom"/>
          </w:tcPr>
          <w:p>
            <w:pPr>
              <w:spacing w:after="0"/>
              <w:rPr>
                <w:sz w:val="6"/>
                <w:szCs w:val="6"/>
                <w:color w:val="auto"/>
              </w:rPr>
            </w:pPr>
          </w:p>
        </w:tc>
      </w:tr>
      <w:tr>
        <w:trPr>
          <w:trHeight w:val="183"/>
        </w:trPr>
        <w:tc>
          <w:tcPr>
            <w:tcW w:w="2860" w:type="dxa"/>
            <w:vAlign w:val="bottom"/>
            <w:tcBorders>
              <w:bottom w:val="single" w:sz="8" w:color="CCECFF"/>
            </w:tcBorders>
            <w:shd w:val="clear" w:color="auto" w:fill="CCECFF"/>
          </w:tcPr>
          <w:p>
            <w:pPr>
              <w:ind w:left="20"/>
              <w:spacing w:after="0"/>
              <w:rPr>
                <w:sz w:val="20"/>
                <w:szCs w:val="20"/>
                <w:color w:val="auto"/>
              </w:rPr>
            </w:pPr>
            <w:r>
              <w:rPr>
                <w:rFonts w:ascii="Calibri" w:cs="Calibri" w:eastAsia="Calibri" w:hAnsi="Calibri"/>
                <w:sz w:val="14"/>
                <w:szCs w:val="14"/>
                <w:color w:val="auto"/>
              </w:rPr>
              <w:t>GAAP operatng expenses</w:t>
            </w:r>
          </w:p>
        </w:tc>
        <w:tc>
          <w:tcPr>
            <w:tcW w:w="4560" w:type="dxa"/>
            <w:vAlign w:val="bottom"/>
            <w:tcBorders>
              <w:bottom w:val="single" w:sz="8" w:color="CCECFF"/>
            </w:tcBorders>
            <w:gridSpan w:val="2"/>
            <w:shd w:val="clear" w:color="auto" w:fill="CCECFF"/>
          </w:tcPr>
          <w:p>
            <w:pPr>
              <w:jc w:val="right"/>
              <w:ind w:right="1028"/>
              <w:spacing w:after="0"/>
              <w:rPr>
                <w:sz w:val="20"/>
                <w:szCs w:val="20"/>
                <w:color w:val="auto"/>
              </w:rPr>
            </w:pPr>
            <w:r>
              <w:rPr>
                <w:rFonts w:ascii="Calibri" w:cs="Calibri" w:eastAsia="Calibri" w:hAnsi="Calibri"/>
                <w:sz w:val="14"/>
                <w:szCs w:val="14"/>
                <w:color w:val="auto"/>
              </w:rPr>
              <w:t>$</w:t>
            </w:r>
          </w:p>
        </w:tc>
        <w:tc>
          <w:tcPr>
            <w:tcW w:w="880" w:type="dxa"/>
            <w:vAlign w:val="bottom"/>
            <w:tcBorders>
              <w:bottom w:val="single" w:sz="8" w:color="CCECFF"/>
            </w:tcBorders>
            <w:shd w:val="clear" w:color="auto" w:fill="CCECFF"/>
          </w:tcPr>
          <w:p>
            <w:pPr>
              <w:jc w:val="right"/>
              <w:spacing w:after="0"/>
              <w:rPr>
                <w:sz w:val="20"/>
                <w:szCs w:val="20"/>
                <w:color w:val="auto"/>
              </w:rPr>
            </w:pPr>
            <w:r>
              <w:rPr>
                <w:rFonts w:ascii="Calibri" w:cs="Calibri" w:eastAsia="Calibri" w:hAnsi="Calibri"/>
                <w:sz w:val="14"/>
                <w:szCs w:val="14"/>
                <w:color w:val="auto"/>
              </w:rPr>
              <w:t>21,500</w:t>
            </w:r>
          </w:p>
        </w:tc>
        <w:tc>
          <w:tcPr>
            <w:tcW w:w="420" w:type="dxa"/>
            <w:vAlign w:val="bottom"/>
            <w:tcBorders>
              <w:bottom w:val="single" w:sz="8" w:color="CCECFF"/>
            </w:tcBorders>
            <w:shd w:val="clear" w:color="auto" w:fill="CCECFF"/>
          </w:tcPr>
          <w:p>
            <w:pPr>
              <w:spacing w:after="0"/>
              <w:rPr>
                <w:sz w:val="15"/>
                <w:szCs w:val="15"/>
                <w:color w:val="auto"/>
              </w:rPr>
            </w:pPr>
          </w:p>
        </w:tc>
        <w:tc>
          <w:tcPr>
            <w:tcW w:w="880" w:type="dxa"/>
            <w:vAlign w:val="bottom"/>
            <w:tcBorders>
              <w:bottom w:val="single" w:sz="8" w:color="CCECFF"/>
            </w:tcBorders>
            <w:shd w:val="clear" w:color="auto" w:fill="CCECFF"/>
          </w:tcPr>
          <w:p>
            <w:pPr>
              <w:jc w:val="right"/>
              <w:ind w:right="708"/>
              <w:spacing w:after="0"/>
              <w:rPr>
                <w:sz w:val="20"/>
                <w:szCs w:val="20"/>
                <w:color w:val="auto"/>
              </w:rPr>
            </w:pPr>
            <w:r>
              <w:rPr>
                <w:rFonts w:ascii="Calibri" w:cs="Calibri" w:eastAsia="Calibri" w:hAnsi="Calibri"/>
                <w:sz w:val="14"/>
                <w:szCs w:val="14"/>
                <w:color w:val="auto"/>
              </w:rPr>
              <w:t>$</w:t>
            </w:r>
          </w:p>
        </w:tc>
        <w:tc>
          <w:tcPr>
            <w:tcW w:w="1160" w:type="dxa"/>
            <w:vAlign w:val="bottom"/>
            <w:tcBorders>
              <w:bottom w:val="single" w:sz="8" w:color="CCECFF"/>
            </w:tcBorders>
            <w:shd w:val="clear" w:color="auto" w:fill="CCECFF"/>
          </w:tcPr>
          <w:p>
            <w:pPr>
              <w:jc w:val="right"/>
              <w:spacing w:after="0"/>
              <w:rPr>
                <w:sz w:val="20"/>
                <w:szCs w:val="20"/>
                <w:color w:val="auto"/>
              </w:rPr>
            </w:pPr>
            <w:r>
              <w:rPr>
                <w:rFonts w:ascii="Calibri" w:cs="Calibri" w:eastAsia="Calibri" w:hAnsi="Calibri"/>
                <w:sz w:val="14"/>
                <w:szCs w:val="14"/>
                <w:color w:val="auto"/>
              </w:rPr>
              <w:t>23,804</w:t>
            </w:r>
          </w:p>
        </w:tc>
        <w:tc>
          <w:tcPr>
            <w:tcW w:w="480" w:type="dxa"/>
            <w:vAlign w:val="bottom"/>
            <w:tcBorders>
              <w:bottom w:val="single" w:sz="8" w:color="CCECFF"/>
            </w:tcBorders>
            <w:shd w:val="clear" w:color="auto" w:fill="CCECFF"/>
          </w:tcPr>
          <w:p>
            <w:pPr>
              <w:spacing w:after="0"/>
              <w:rPr>
                <w:sz w:val="15"/>
                <w:szCs w:val="15"/>
                <w:color w:val="auto"/>
              </w:rPr>
            </w:pPr>
          </w:p>
        </w:tc>
      </w:tr>
      <w:tr>
        <w:trPr>
          <w:trHeight w:val="170"/>
        </w:trPr>
        <w:tc>
          <w:tcPr>
            <w:tcW w:w="2860" w:type="dxa"/>
            <w:vAlign w:val="bottom"/>
          </w:tcPr>
          <w:p>
            <w:pPr>
              <w:ind w:left="160"/>
              <w:spacing w:after="0"/>
              <w:rPr>
                <w:sz w:val="20"/>
                <w:szCs w:val="20"/>
                <w:color w:val="auto"/>
              </w:rPr>
            </w:pPr>
            <w:r>
              <w:rPr>
                <w:rFonts w:ascii="Calibri" w:cs="Calibri" w:eastAsia="Calibri" w:hAnsi="Calibri"/>
                <w:sz w:val="14"/>
                <w:szCs w:val="14"/>
                <w:color w:val="auto"/>
              </w:rPr>
              <w:t>Amortzaton of acquired intangible assets</w:t>
            </w:r>
          </w:p>
        </w:tc>
        <w:tc>
          <w:tcPr>
            <w:tcW w:w="3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00" w:type="dxa"/>
            <w:vAlign w:val="bottom"/>
            <w:gridSpan w:val="2"/>
          </w:tcPr>
          <w:p>
            <w:pPr>
              <w:jc w:val="right"/>
              <w:ind w:right="360"/>
              <w:spacing w:after="0"/>
              <w:rPr>
                <w:sz w:val="20"/>
                <w:szCs w:val="20"/>
                <w:color w:val="auto"/>
              </w:rPr>
            </w:pPr>
            <w:r>
              <w:rPr>
                <w:rFonts w:ascii="Calibri" w:cs="Calibri" w:eastAsia="Calibri" w:hAnsi="Calibri"/>
                <w:sz w:val="14"/>
                <w:szCs w:val="14"/>
                <w:color w:val="auto"/>
              </w:rPr>
              <w:t>(2,119 )</w:t>
            </w:r>
          </w:p>
        </w:tc>
        <w:tc>
          <w:tcPr>
            <w:tcW w:w="880" w:type="dxa"/>
            <w:vAlign w:val="bottom"/>
          </w:tcPr>
          <w:p>
            <w:pPr>
              <w:spacing w:after="0"/>
              <w:rPr>
                <w:sz w:val="14"/>
                <w:szCs w:val="14"/>
                <w:color w:val="auto"/>
              </w:rPr>
            </w:pPr>
          </w:p>
        </w:tc>
        <w:tc>
          <w:tcPr>
            <w:tcW w:w="1640" w:type="dxa"/>
            <w:vAlign w:val="bottom"/>
            <w:gridSpan w:val="2"/>
          </w:tcPr>
          <w:p>
            <w:pPr>
              <w:jc w:val="right"/>
              <w:ind w:right="420"/>
              <w:spacing w:after="0"/>
              <w:rPr>
                <w:sz w:val="20"/>
                <w:szCs w:val="20"/>
                <w:color w:val="auto"/>
              </w:rPr>
            </w:pPr>
            <w:r>
              <w:rPr>
                <w:rFonts w:ascii="Calibri" w:cs="Calibri" w:eastAsia="Calibri" w:hAnsi="Calibri"/>
                <w:sz w:val="14"/>
                <w:szCs w:val="14"/>
                <w:color w:val="auto"/>
              </w:rPr>
              <w:t>(2,960 )</w:t>
            </w:r>
          </w:p>
        </w:tc>
      </w:tr>
      <w:tr>
        <w:trPr>
          <w:trHeight w:val="33"/>
        </w:trPr>
        <w:tc>
          <w:tcPr>
            <w:tcW w:w="286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183"/>
        </w:trPr>
        <w:tc>
          <w:tcPr>
            <w:tcW w:w="2860" w:type="dxa"/>
            <w:vAlign w:val="bottom"/>
            <w:tcBorders>
              <w:bottom w:val="single" w:sz="8" w:color="CCECFF"/>
            </w:tcBorders>
            <w:shd w:val="clear" w:color="auto" w:fill="CCECFF"/>
          </w:tcPr>
          <w:p>
            <w:pPr>
              <w:ind w:left="160"/>
              <w:spacing w:after="0"/>
              <w:rPr>
                <w:sz w:val="20"/>
                <w:szCs w:val="20"/>
                <w:color w:val="auto"/>
              </w:rPr>
            </w:pPr>
            <w:r>
              <w:rPr>
                <w:rFonts w:ascii="Calibri" w:cs="Calibri" w:eastAsia="Calibri" w:hAnsi="Calibri"/>
                <w:sz w:val="14"/>
                <w:szCs w:val="14"/>
                <w:color w:val="auto"/>
              </w:rPr>
              <w:t>Stock compensaton</w:t>
            </w:r>
          </w:p>
        </w:tc>
        <w:tc>
          <w:tcPr>
            <w:tcW w:w="3380" w:type="dxa"/>
            <w:vAlign w:val="bottom"/>
            <w:tcBorders>
              <w:bottom w:val="single" w:sz="8" w:color="CCECFF"/>
            </w:tcBorders>
            <w:shd w:val="clear" w:color="auto" w:fill="CCECFF"/>
          </w:tcPr>
          <w:p>
            <w:pPr>
              <w:spacing w:after="0"/>
              <w:rPr>
                <w:sz w:val="15"/>
                <w:szCs w:val="15"/>
                <w:color w:val="auto"/>
              </w:rPr>
            </w:pPr>
          </w:p>
        </w:tc>
        <w:tc>
          <w:tcPr>
            <w:tcW w:w="1180" w:type="dxa"/>
            <w:vAlign w:val="bottom"/>
            <w:tcBorders>
              <w:bottom w:val="single" w:sz="8" w:color="CCECFF"/>
            </w:tcBorders>
            <w:shd w:val="clear" w:color="auto" w:fill="CCECFF"/>
          </w:tcPr>
          <w:p>
            <w:pPr>
              <w:spacing w:after="0"/>
              <w:rPr>
                <w:sz w:val="15"/>
                <w:szCs w:val="15"/>
                <w:color w:val="auto"/>
              </w:rPr>
            </w:pPr>
          </w:p>
        </w:tc>
        <w:tc>
          <w:tcPr>
            <w:tcW w:w="1300" w:type="dxa"/>
            <w:vAlign w:val="bottom"/>
            <w:tcBorders>
              <w:bottom w:val="single" w:sz="8" w:color="CCECFF"/>
            </w:tcBorders>
            <w:gridSpan w:val="2"/>
            <w:shd w:val="clear" w:color="auto" w:fill="CCECFF"/>
          </w:tcPr>
          <w:p>
            <w:pPr>
              <w:jc w:val="right"/>
              <w:ind w:right="360"/>
              <w:spacing w:after="0"/>
              <w:rPr>
                <w:sz w:val="20"/>
                <w:szCs w:val="20"/>
                <w:color w:val="auto"/>
              </w:rPr>
            </w:pPr>
            <w:r>
              <w:rPr>
                <w:rFonts w:ascii="Calibri" w:cs="Calibri" w:eastAsia="Calibri" w:hAnsi="Calibri"/>
                <w:sz w:val="14"/>
                <w:szCs w:val="14"/>
                <w:color w:val="auto"/>
              </w:rPr>
              <w:t>(932 )</w:t>
            </w:r>
          </w:p>
        </w:tc>
        <w:tc>
          <w:tcPr>
            <w:tcW w:w="880" w:type="dxa"/>
            <w:vAlign w:val="bottom"/>
            <w:tcBorders>
              <w:bottom w:val="single" w:sz="8" w:color="CCECFF"/>
            </w:tcBorders>
            <w:shd w:val="clear" w:color="auto" w:fill="CCECFF"/>
          </w:tcPr>
          <w:p>
            <w:pPr>
              <w:spacing w:after="0"/>
              <w:rPr>
                <w:sz w:val="15"/>
                <w:szCs w:val="15"/>
                <w:color w:val="auto"/>
              </w:rPr>
            </w:pPr>
          </w:p>
        </w:tc>
        <w:tc>
          <w:tcPr>
            <w:tcW w:w="1640" w:type="dxa"/>
            <w:vAlign w:val="bottom"/>
            <w:tcBorders>
              <w:bottom w:val="single" w:sz="8" w:color="CCECFF"/>
            </w:tcBorders>
            <w:gridSpan w:val="2"/>
            <w:shd w:val="clear" w:color="auto" w:fill="CCECFF"/>
          </w:tcPr>
          <w:p>
            <w:pPr>
              <w:jc w:val="right"/>
              <w:ind w:right="420"/>
              <w:spacing w:after="0"/>
              <w:rPr>
                <w:sz w:val="20"/>
                <w:szCs w:val="20"/>
                <w:color w:val="auto"/>
              </w:rPr>
            </w:pPr>
            <w:r>
              <w:rPr>
                <w:rFonts w:ascii="Calibri" w:cs="Calibri" w:eastAsia="Calibri" w:hAnsi="Calibri"/>
                <w:sz w:val="14"/>
                <w:szCs w:val="14"/>
                <w:color w:val="auto"/>
              </w:rPr>
              <w:t>(932 )</w:t>
            </w:r>
          </w:p>
        </w:tc>
      </w:tr>
      <w:tr>
        <w:trPr>
          <w:trHeight w:val="170"/>
        </w:trPr>
        <w:tc>
          <w:tcPr>
            <w:tcW w:w="2860" w:type="dxa"/>
            <w:vAlign w:val="bottom"/>
          </w:tcPr>
          <w:p>
            <w:pPr>
              <w:ind w:left="160"/>
              <w:spacing w:after="0"/>
              <w:rPr>
                <w:sz w:val="20"/>
                <w:szCs w:val="20"/>
                <w:color w:val="auto"/>
              </w:rPr>
            </w:pPr>
            <w:r>
              <w:rPr>
                <w:rFonts w:ascii="Calibri" w:cs="Calibri" w:eastAsia="Calibri" w:hAnsi="Calibri"/>
                <w:sz w:val="14"/>
                <w:szCs w:val="14"/>
                <w:color w:val="auto"/>
              </w:rPr>
              <w:t>Technology implementaton</w:t>
            </w:r>
          </w:p>
        </w:tc>
        <w:tc>
          <w:tcPr>
            <w:tcW w:w="3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00" w:type="dxa"/>
            <w:vAlign w:val="bottom"/>
            <w:gridSpan w:val="2"/>
          </w:tcPr>
          <w:p>
            <w:pPr>
              <w:jc w:val="right"/>
              <w:ind w:right="440"/>
              <w:spacing w:after="0"/>
              <w:rPr>
                <w:sz w:val="20"/>
                <w:szCs w:val="20"/>
                <w:color w:val="auto"/>
              </w:rPr>
            </w:pPr>
            <w:r>
              <w:rPr>
                <w:rFonts w:ascii="Calibri" w:cs="Calibri" w:eastAsia="Calibri" w:hAnsi="Calibri"/>
                <w:sz w:val="14"/>
                <w:szCs w:val="14"/>
                <w:color w:val="auto"/>
              </w:rPr>
              <w:t>—</w:t>
            </w:r>
          </w:p>
        </w:tc>
        <w:tc>
          <w:tcPr>
            <w:tcW w:w="880" w:type="dxa"/>
            <w:vAlign w:val="bottom"/>
          </w:tcPr>
          <w:p>
            <w:pPr>
              <w:spacing w:after="0"/>
              <w:rPr>
                <w:sz w:val="14"/>
                <w:szCs w:val="14"/>
                <w:color w:val="auto"/>
              </w:rPr>
            </w:pPr>
          </w:p>
        </w:tc>
        <w:tc>
          <w:tcPr>
            <w:tcW w:w="1640" w:type="dxa"/>
            <w:vAlign w:val="bottom"/>
            <w:gridSpan w:val="2"/>
          </w:tcPr>
          <w:p>
            <w:pPr>
              <w:jc w:val="right"/>
              <w:ind w:right="420"/>
              <w:spacing w:after="0"/>
              <w:rPr>
                <w:sz w:val="20"/>
                <w:szCs w:val="20"/>
                <w:color w:val="auto"/>
              </w:rPr>
            </w:pPr>
            <w:r>
              <w:rPr>
                <w:rFonts w:ascii="Calibri" w:cs="Calibri" w:eastAsia="Calibri" w:hAnsi="Calibri"/>
                <w:sz w:val="14"/>
                <w:szCs w:val="14"/>
                <w:color w:val="auto"/>
              </w:rPr>
              <w:t>(293 )</w:t>
            </w:r>
          </w:p>
        </w:tc>
      </w:tr>
      <w:tr>
        <w:trPr>
          <w:trHeight w:val="33"/>
        </w:trPr>
        <w:tc>
          <w:tcPr>
            <w:tcW w:w="286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196"/>
        </w:trPr>
        <w:tc>
          <w:tcPr>
            <w:tcW w:w="2860" w:type="dxa"/>
            <w:vAlign w:val="bottom"/>
            <w:shd w:val="clear" w:color="auto" w:fill="CCECFF"/>
          </w:tcPr>
          <w:p>
            <w:pPr>
              <w:ind w:left="160"/>
              <w:spacing w:after="0"/>
              <w:rPr>
                <w:sz w:val="20"/>
                <w:szCs w:val="20"/>
                <w:color w:val="auto"/>
              </w:rPr>
            </w:pPr>
            <w:r>
              <w:rPr>
                <w:rFonts w:ascii="Calibri" w:cs="Calibri" w:eastAsia="Calibri" w:hAnsi="Calibri"/>
                <w:sz w:val="14"/>
                <w:szCs w:val="14"/>
                <w:color w:val="auto"/>
              </w:rPr>
              <w:t>Emerging growth status transiton costs</w:t>
            </w:r>
          </w:p>
        </w:tc>
        <w:tc>
          <w:tcPr>
            <w:tcW w:w="3380" w:type="dxa"/>
            <w:vAlign w:val="bottom"/>
            <w:shd w:val="clear" w:color="auto" w:fill="CCECFF"/>
          </w:tcPr>
          <w:p>
            <w:pPr>
              <w:spacing w:after="0"/>
              <w:rPr>
                <w:sz w:val="17"/>
                <w:szCs w:val="17"/>
                <w:color w:val="auto"/>
              </w:rPr>
            </w:pPr>
          </w:p>
        </w:tc>
        <w:tc>
          <w:tcPr>
            <w:tcW w:w="1180" w:type="dxa"/>
            <w:vAlign w:val="bottom"/>
            <w:shd w:val="clear" w:color="auto" w:fill="CCECFF"/>
          </w:tcPr>
          <w:p>
            <w:pPr>
              <w:spacing w:after="0"/>
              <w:rPr>
                <w:sz w:val="17"/>
                <w:szCs w:val="17"/>
                <w:color w:val="auto"/>
              </w:rPr>
            </w:pPr>
          </w:p>
        </w:tc>
        <w:tc>
          <w:tcPr>
            <w:tcW w:w="1300" w:type="dxa"/>
            <w:vAlign w:val="bottom"/>
            <w:gridSpan w:val="2"/>
            <w:shd w:val="clear" w:color="auto" w:fill="CCECFF"/>
          </w:tcPr>
          <w:p>
            <w:pPr>
              <w:jc w:val="right"/>
              <w:ind w:right="360"/>
              <w:spacing w:after="0"/>
              <w:rPr>
                <w:sz w:val="20"/>
                <w:szCs w:val="20"/>
                <w:color w:val="auto"/>
              </w:rPr>
            </w:pPr>
            <w:r>
              <w:rPr>
                <w:rFonts w:ascii="Calibri" w:cs="Calibri" w:eastAsia="Calibri" w:hAnsi="Calibri"/>
                <w:sz w:val="14"/>
                <w:szCs w:val="14"/>
                <w:color w:val="auto"/>
              </w:rPr>
              <w:t>(42 )</w:t>
            </w:r>
          </w:p>
        </w:tc>
        <w:tc>
          <w:tcPr>
            <w:tcW w:w="880" w:type="dxa"/>
            <w:vAlign w:val="bottom"/>
            <w:shd w:val="clear" w:color="auto" w:fill="CCECFF"/>
          </w:tcPr>
          <w:p>
            <w:pPr>
              <w:spacing w:after="0"/>
              <w:rPr>
                <w:sz w:val="17"/>
                <w:szCs w:val="17"/>
                <w:color w:val="auto"/>
              </w:rPr>
            </w:pPr>
          </w:p>
        </w:tc>
        <w:tc>
          <w:tcPr>
            <w:tcW w:w="1640" w:type="dxa"/>
            <w:vAlign w:val="bottom"/>
            <w:gridSpan w:val="2"/>
            <w:shd w:val="clear" w:color="auto" w:fill="CCECFF"/>
          </w:tcPr>
          <w:p>
            <w:pPr>
              <w:jc w:val="right"/>
              <w:ind w:right="480"/>
              <w:spacing w:after="0"/>
              <w:rPr>
                <w:sz w:val="20"/>
                <w:szCs w:val="20"/>
                <w:color w:val="auto"/>
              </w:rPr>
            </w:pPr>
            <w:r>
              <w:rPr>
                <w:rFonts w:ascii="Calibri" w:cs="Calibri" w:eastAsia="Calibri" w:hAnsi="Calibri"/>
                <w:sz w:val="14"/>
                <w:szCs w:val="14"/>
                <w:color w:val="auto"/>
              </w:rPr>
              <w:t>—</w:t>
            </w:r>
          </w:p>
        </w:tc>
      </w:tr>
      <w:tr>
        <w:trPr>
          <w:trHeight w:val="203"/>
        </w:trPr>
        <w:tc>
          <w:tcPr>
            <w:tcW w:w="2860" w:type="dxa"/>
            <w:vAlign w:val="bottom"/>
            <w:tcBorders>
              <w:top w:val="single" w:sz="8" w:color="CCECFF"/>
            </w:tcBorders>
          </w:tcPr>
          <w:p>
            <w:pPr>
              <w:ind w:left="20"/>
              <w:spacing w:after="0"/>
              <w:rPr>
                <w:sz w:val="20"/>
                <w:szCs w:val="20"/>
                <w:color w:val="auto"/>
              </w:rPr>
            </w:pPr>
            <w:r>
              <w:rPr>
                <w:rFonts w:ascii="Calibri" w:cs="Calibri" w:eastAsia="Calibri" w:hAnsi="Calibri"/>
                <w:sz w:val="14"/>
                <w:szCs w:val="14"/>
                <w:color w:val="auto"/>
              </w:rPr>
              <w:t>Non-GAAP operatng expenses</w:t>
            </w:r>
          </w:p>
        </w:tc>
        <w:tc>
          <w:tcPr>
            <w:tcW w:w="3380" w:type="dxa"/>
            <w:vAlign w:val="bottom"/>
            <w:tcBorders>
              <w:top w:val="single" w:sz="8" w:color="CCECFF"/>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1028"/>
              <w:spacing w:after="0"/>
              <w:rPr>
                <w:sz w:val="20"/>
                <w:szCs w:val="20"/>
                <w:color w:val="auto"/>
              </w:rPr>
            </w:pPr>
            <w:r>
              <w:rPr>
                <w:rFonts w:ascii="Calibri" w:cs="Calibri" w:eastAsia="Calibri" w:hAnsi="Calibri"/>
                <w:sz w:val="14"/>
                <w:szCs w:val="14"/>
                <w:color w:val="auto"/>
                <w:w w:val="83"/>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Calibri" w:cs="Calibri" w:eastAsia="Calibri" w:hAnsi="Calibri"/>
                <w:sz w:val="14"/>
                <w:szCs w:val="14"/>
                <w:color w:val="auto"/>
              </w:rPr>
              <w:t>18,407</w:t>
            </w:r>
          </w:p>
        </w:tc>
        <w:tc>
          <w:tcPr>
            <w:tcW w:w="420" w:type="dxa"/>
            <w:vAlign w:val="bottom"/>
            <w:tcBorders>
              <w:top w:val="single" w:sz="8" w:color="CCECFF"/>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708"/>
              <w:spacing w:after="0"/>
              <w:rPr>
                <w:sz w:val="20"/>
                <w:szCs w:val="20"/>
                <w:color w:val="auto"/>
              </w:rPr>
            </w:pPr>
            <w:r>
              <w:rPr>
                <w:rFonts w:ascii="Calibri" w:cs="Calibri" w:eastAsia="Calibri" w:hAnsi="Calibri"/>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Calibri" w:cs="Calibri" w:eastAsia="Calibri" w:hAnsi="Calibri"/>
                <w:sz w:val="14"/>
                <w:szCs w:val="14"/>
                <w:color w:val="auto"/>
              </w:rPr>
              <w:t>19,619</w:t>
            </w:r>
          </w:p>
        </w:tc>
        <w:tc>
          <w:tcPr>
            <w:tcW w:w="480" w:type="dxa"/>
            <w:vAlign w:val="bottom"/>
            <w:tcBorders>
              <w:top w:val="single" w:sz="8" w:color="CCECFF"/>
            </w:tcBorders>
          </w:tcPr>
          <w:p>
            <w:pPr>
              <w:spacing w:after="0"/>
              <w:rPr>
                <w:sz w:val="17"/>
                <w:szCs w:val="17"/>
                <w:color w:val="auto"/>
              </w:rPr>
            </w:pPr>
          </w:p>
        </w:tc>
      </w:tr>
      <w:tr>
        <w:trPr>
          <w:trHeight w:val="20"/>
        </w:trPr>
        <w:tc>
          <w:tcPr>
            <w:tcW w:w="28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75"/>
        </w:trPr>
        <w:tc>
          <w:tcPr>
            <w:tcW w:w="2860" w:type="dxa"/>
            <w:vAlign w:val="bottom"/>
            <w:shd w:val="clear" w:color="auto" w:fill="CCECFF"/>
          </w:tcPr>
          <w:p>
            <w:pPr>
              <w:spacing w:after="0"/>
              <w:rPr>
                <w:sz w:val="6"/>
                <w:szCs w:val="6"/>
                <w:color w:val="auto"/>
              </w:rPr>
            </w:pPr>
          </w:p>
        </w:tc>
        <w:tc>
          <w:tcPr>
            <w:tcW w:w="3380" w:type="dxa"/>
            <w:vAlign w:val="bottom"/>
            <w:shd w:val="clear" w:color="auto" w:fill="CCECFF"/>
          </w:tcPr>
          <w:p>
            <w:pPr>
              <w:spacing w:after="0"/>
              <w:rPr>
                <w:sz w:val="6"/>
                <w:szCs w:val="6"/>
                <w:color w:val="auto"/>
              </w:rPr>
            </w:pPr>
          </w:p>
        </w:tc>
        <w:tc>
          <w:tcPr>
            <w:tcW w:w="1180" w:type="dxa"/>
            <w:vAlign w:val="bottom"/>
            <w:shd w:val="clear" w:color="auto" w:fill="CCECFF"/>
          </w:tcPr>
          <w:p>
            <w:pPr>
              <w:spacing w:after="0"/>
              <w:rPr>
                <w:sz w:val="6"/>
                <w:szCs w:val="6"/>
                <w:color w:val="auto"/>
              </w:rPr>
            </w:pPr>
          </w:p>
        </w:tc>
        <w:tc>
          <w:tcPr>
            <w:tcW w:w="880" w:type="dxa"/>
            <w:vAlign w:val="bottom"/>
            <w:shd w:val="clear" w:color="auto" w:fill="CCECFF"/>
          </w:tcPr>
          <w:p>
            <w:pPr>
              <w:spacing w:after="0"/>
              <w:rPr>
                <w:sz w:val="6"/>
                <w:szCs w:val="6"/>
                <w:color w:val="auto"/>
              </w:rPr>
            </w:pPr>
          </w:p>
        </w:tc>
        <w:tc>
          <w:tcPr>
            <w:tcW w:w="420" w:type="dxa"/>
            <w:vAlign w:val="bottom"/>
            <w:shd w:val="clear" w:color="auto" w:fill="CCECFF"/>
          </w:tcPr>
          <w:p>
            <w:pPr>
              <w:spacing w:after="0"/>
              <w:rPr>
                <w:sz w:val="6"/>
                <w:szCs w:val="6"/>
                <w:color w:val="auto"/>
              </w:rPr>
            </w:pPr>
          </w:p>
        </w:tc>
        <w:tc>
          <w:tcPr>
            <w:tcW w:w="880" w:type="dxa"/>
            <w:vAlign w:val="bottom"/>
            <w:shd w:val="clear" w:color="auto" w:fill="CCECFF"/>
          </w:tcPr>
          <w:p>
            <w:pPr>
              <w:spacing w:after="0"/>
              <w:rPr>
                <w:sz w:val="6"/>
                <w:szCs w:val="6"/>
                <w:color w:val="auto"/>
              </w:rPr>
            </w:pPr>
          </w:p>
        </w:tc>
        <w:tc>
          <w:tcPr>
            <w:tcW w:w="1160" w:type="dxa"/>
            <w:vAlign w:val="bottom"/>
            <w:shd w:val="clear" w:color="auto" w:fill="CCECFF"/>
          </w:tcPr>
          <w:p>
            <w:pPr>
              <w:spacing w:after="0"/>
              <w:rPr>
                <w:sz w:val="6"/>
                <w:szCs w:val="6"/>
                <w:color w:val="auto"/>
              </w:rPr>
            </w:pPr>
          </w:p>
        </w:tc>
        <w:tc>
          <w:tcPr>
            <w:tcW w:w="480" w:type="dxa"/>
            <w:vAlign w:val="bottom"/>
            <w:shd w:val="clear" w:color="auto" w:fill="CCECFF"/>
          </w:tcPr>
          <w:p>
            <w:pPr>
              <w:spacing w:after="0"/>
              <w:rPr>
                <w:sz w:val="6"/>
                <w:szCs w:val="6"/>
                <w:color w:val="auto"/>
              </w:rPr>
            </w:pPr>
          </w:p>
        </w:tc>
      </w:tr>
      <w:tr>
        <w:trPr>
          <w:trHeight w:val="170"/>
        </w:trPr>
        <w:tc>
          <w:tcPr>
            <w:tcW w:w="2860" w:type="dxa"/>
            <w:vAlign w:val="bottom"/>
          </w:tcPr>
          <w:p>
            <w:pPr>
              <w:ind w:left="20"/>
              <w:spacing w:after="0"/>
              <w:rPr>
                <w:sz w:val="20"/>
                <w:szCs w:val="20"/>
                <w:color w:val="auto"/>
              </w:rPr>
            </w:pPr>
            <w:r>
              <w:rPr>
                <w:rFonts w:ascii="Calibri" w:cs="Calibri" w:eastAsia="Calibri" w:hAnsi="Calibri"/>
                <w:sz w:val="14"/>
                <w:szCs w:val="14"/>
                <w:color w:val="auto"/>
              </w:rPr>
              <w:t>GAAP operatng loss</w:t>
            </w:r>
          </w:p>
        </w:tc>
        <w:tc>
          <w:tcPr>
            <w:tcW w:w="4560" w:type="dxa"/>
            <w:vAlign w:val="bottom"/>
            <w:gridSpan w:val="2"/>
          </w:tcPr>
          <w:p>
            <w:pPr>
              <w:jc w:val="right"/>
              <w:ind w:right="1028"/>
              <w:spacing w:after="0"/>
              <w:rPr>
                <w:sz w:val="20"/>
                <w:szCs w:val="20"/>
                <w:color w:val="auto"/>
              </w:rPr>
            </w:pPr>
            <w:r>
              <w:rPr>
                <w:rFonts w:ascii="Calibri" w:cs="Calibri" w:eastAsia="Calibri" w:hAnsi="Calibri"/>
                <w:sz w:val="14"/>
                <w:szCs w:val="14"/>
                <w:color w:val="auto"/>
              </w:rPr>
              <w:t>$</w:t>
            </w:r>
          </w:p>
        </w:tc>
        <w:tc>
          <w:tcPr>
            <w:tcW w:w="1300" w:type="dxa"/>
            <w:vAlign w:val="bottom"/>
            <w:gridSpan w:val="2"/>
          </w:tcPr>
          <w:p>
            <w:pPr>
              <w:jc w:val="right"/>
              <w:ind w:right="360"/>
              <w:spacing w:after="0"/>
              <w:rPr>
                <w:sz w:val="20"/>
                <w:szCs w:val="20"/>
                <w:color w:val="auto"/>
              </w:rPr>
            </w:pPr>
            <w:r>
              <w:rPr>
                <w:rFonts w:ascii="Calibri" w:cs="Calibri" w:eastAsia="Calibri" w:hAnsi="Calibri"/>
                <w:sz w:val="14"/>
                <w:szCs w:val="14"/>
                <w:color w:val="auto"/>
              </w:rPr>
              <w:t>(2,574 )</w:t>
            </w:r>
          </w:p>
        </w:tc>
        <w:tc>
          <w:tcPr>
            <w:tcW w:w="880" w:type="dxa"/>
            <w:vAlign w:val="bottom"/>
          </w:tcPr>
          <w:p>
            <w:pPr>
              <w:jc w:val="right"/>
              <w:ind w:right="708"/>
              <w:spacing w:after="0"/>
              <w:rPr>
                <w:sz w:val="20"/>
                <w:szCs w:val="20"/>
                <w:color w:val="auto"/>
              </w:rPr>
            </w:pPr>
            <w:r>
              <w:rPr>
                <w:rFonts w:ascii="Calibri" w:cs="Calibri" w:eastAsia="Calibri" w:hAnsi="Calibri"/>
                <w:sz w:val="14"/>
                <w:szCs w:val="14"/>
                <w:color w:val="auto"/>
              </w:rPr>
              <w:t>$</w:t>
            </w:r>
          </w:p>
        </w:tc>
        <w:tc>
          <w:tcPr>
            <w:tcW w:w="1640" w:type="dxa"/>
            <w:vAlign w:val="bottom"/>
            <w:gridSpan w:val="2"/>
          </w:tcPr>
          <w:p>
            <w:pPr>
              <w:jc w:val="right"/>
              <w:ind w:right="420"/>
              <w:spacing w:after="0"/>
              <w:rPr>
                <w:sz w:val="20"/>
                <w:szCs w:val="20"/>
                <w:color w:val="auto"/>
              </w:rPr>
            </w:pPr>
            <w:r>
              <w:rPr>
                <w:rFonts w:ascii="Calibri" w:cs="Calibri" w:eastAsia="Calibri" w:hAnsi="Calibri"/>
                <w:sz w:val="14"/>
                <w:szCs w:val="14"/>
                <w:color w:val="auto"/>
              </w:rPr>
              <w:t>(4,085 )</w:t>
            </w:r>
          </w:p>
        </w:tc>
      </w:tr>
      <w:tr>
        <w:trPr>
          <w:trHeight w:val="33"/>
        </w:trPr>
        <w:tc>
          <w:tcPr>
            <w:tcW w:w="286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182"/>
        </w:trPr>
        <w:tc>
          <w:tcPr>
            <w:tcW w:w="2860" w:type="dxa"/>
            <w:vAlign w:val="bottom"/>
            <w:tcBorders>
              <w:bottom w:val="single" w:sz="8" w:color="CCECFF"/>
            </w:tcBorders>
            <w:shd w:val="clear" w:color="auto" w:fill="CCECFF"/>
          </w:tcPr>
          <w:p>
            <w:pPr>
              <w:ind w:left="160"/>
              <w:spacing w:after="0"/>
              <w:rPr>
                <w:sz w:val="20"/>
                <w:szCs w:val="20"/>
                <w:color w:val="auto"/>
              </w:rPr>
            </w:pPr>
            <w:r>
              <w:rPr>
                <w:rFonts w:ascii="Calibri" w:cs="Calibri" w:eastAsia="Calibri" w:hAnsi="Calibri"/>
                <w:sz w:val="14"/>
                <w:szCs w:val="14"/>
                <w:color w:val="auto"/>
              </w:rPr>
              <w:t>Amortzaton of acquired intangible assets</w:t>
            </w:r>
          </w:p>
        </w:tc>
        <w:tc>
          <w:tcPr>
            <w:tcW w:w="3380" w:type="dxa"/>
            <w:vAlign w:val="bottom"/>
            <w:tcBorders>
              <w:bottom w:val="single" w:sz="8" w:color="CCECFF"/>
            </w:tcBorders>
            <w:shd w:val="clear" w:color="auto" w:fill="CCECFF"/>
          </w:tcPr>
          <w:p>
            <w:pPr>
              <w:spacing w:after="0"/>
              <w:rPr>
                <w:sz w:val="15"/>
                <w:szCs w:val="15"/>
                <w:color w:val="auto"/>
              </w:rPr>
            </w:pPr>
          </w:p>
        </w:tc>
        <w:tc>
          <w:tcPr>
            <w:tcW w:w="1180" w:type="dxa"/>
            <w:vAlign w:val="bottom"/>
            <w:tcBorders>
              <w:bottom w:val="single" w:sz="8" w:color="CCECFF"/>
            </w:tcBorders>
            <w:shd w:val="clear" w:color="auto" w:fill="CCECFF"/>
          </w:tcPr>
          <w:p>
            <w:pPr>
              <w:spacing w:after="0"/>
              <w:rPr>
                <w:sz w:val="15"/>
                <w:szCs w:val="15"/>
                <w:color w:val="auto"/>
              </w:rPr>
            </w:pPr>
          </w:p>
        </w:tc>
        <w:tc>
          <w:tcPr>
            <w:tcW w:w="880" w:type="dxa"/>
            <w:vAlign w:val="bottom"/>
            <w:tcBorders>
              <w:bottom w:val="single" w:sz="8" w:color="CCECFF"/>
            </w:tcBorders>
            <w:shd w:val="clear" w:color="auto" w:fill="CCECFF"/>
          </w:tcPr>
          <w:p>
            <w:pPr>
              <w:jc w:val="right"/>
              <w:spacing w:after="0"/>
              <w:rPr>
                <w:sz w:val="20"/>
                <w:szCs w:val="20"/>
                <w:color w:val="auto"/>
              </w:rPr>
            </w:pPr>
            <w:r>
              <w:rPr>
                <w:rFonts w:ascii="Calibri" w:cs="Calibri" w:eastAsia="Calibri" w:hAnsi="Calibri"/>
                <w:sz w:val="14"/>
                <w:szCs w:val="14"/>
                <w:color w:val="auto"/>
              </w:rPr>
              <w:t>2,119</w:t>
            </w:r>
          </w:p>
        </w:tc>
        <w:tc>
          <w:tcPr>
            <w:tcW w:w="420" w:type="dxa"/>
            <w:vAlign w:val="bottom"/>
            <w:tcBorders>
              <w:bottom w:val="single" w:sz="8" w:color="CCECFF"/>
            </w:tcBorders>
            <w:shd w:val="clear" w:color="auto" w:fill="CCECFF"/>
          </w:tcPr>
          <w:p>
            <w:pPr>
              <w:spacing w:after="0"/>
              <w:rPr>
                <w:sz w:val="15"/>
                <w:szCs w:val="15"/>
                <w:color w:val="auto"/>
              </w:rPr>
            </w:pPr>
          </w:p>
        </w:tc>
        <w:tc>
          <w:tcPr>
            <w:tcW w:w="880" w:type="dxa"/>
            <w:vAlign w:val="bottom"/>
            <w:tcBorders>
              <w:bottom w:val="single" w:sz="8" w:color="CCECFF"/>
            </w:tcBorders>
            <w:shd w:val="clear" w:color="auto" w:fill="CCECFF"/>
          </w:tcPr>
          <w:p>
            <w:pPr>
              <w:spacing w:after="0"/>
              <w:rPr>
                <w:sz w:val="15"/>
                <w:szCs w:val="15"/>
                <w:color w:val="auto"/>
              </w:rPr>
            </w:pPr>
          </w:p>
        </w:tc>
        <w:tc>
          <w:tcPr>
            <w:tcW w:w="1160" w:type="dxa"/>
            <w:vAlign w:val="bottom"/>
            <w:tcBorders>
              <w:bottom w:val="single" w:sz="8" w:color="CCECFF"/>
            </w:tcBorders>
            <w:shd w:val="clear" w:color="auto" w:fill="CCECFF"/>
          </w:tcPr>
          <w:p>
            <w:pPr>
              <w:jc w:val="right"/>
              <w:spacing w:after="0"/>
              <w:rPr>
                <w:sz w:val="20"/>
                <w:szCs w:val="20"/>
                <w:color w:val="auto"/>
              </w:rPr>
            </w:pPr>
            <w:r>
              <w:rPr>
                <w:rFonts w:ascii="Calibri" w:cs="Calibri" w:eastAsia="Calibri" w:hAnsi="Calibri"/>
                <w:sz w:val="14"/>
                <w:szCs w:val="14"/>
                <w:color w:val="auto"/>
              </w:rPr>
              <w:t>2,960</w:t>
            </w:r>
          </w:p>
        </w:tc>
        <w:tc>
          <w:tcPr>
            <w:tcW w:w="480" w:type="dxa"/>
            <w:vAlign w:val="bottom"/>
            <w:tcBorders>
              <w:bottom w:val="single" w:sz="8" w:color="CCECFF"/>
            </w:tcBorders>
            <w:shd w:val="clear" w:color="auto" w:fill="CCECFF"/>
          </w:tcPr>
          <w:p>
            <w:pPr>
              <w:spacing w:after="0"/>
              <w:rPr>
                <w:sz w:val="15"/>
                <w:szCs w:val="15"/>
                <w:color w:val="auto"/>
              </w:rPr>
            </w:pPr>
          </w:p>
        </w:tc>
      </w:tr>
      <w:tr>
        <w:trPr>
          <w:trHeight w:val="170"/>
        </w:trPr>
        <w:tc>
          <w:tcPr>
            <w:tcW w:w="2860" w:type="dxa"/>
            <w:vAlign w:val="bottom"/>
          </w:tcPr>
          <w:p>
            <w:pPr>
              <w:ind w:left="160"/>
              <w:spacing w:after="0"/>
              <w:rPr>
                <w:sz w:val="20"/>
                <w:szCs w:val="20"/>
                <w:color w:val="auto"/>
              </w:rPr>
            </w:pPr>
            <w:r>
              <w:rPr>
                <w:rFonts w:ascii="Calibri" w:cs="Calibri" w:eastAsia="Calibri" w:hAnsi="Calibri"/>
                <w:sz w:val="14"/>
                <w:szCs w:val="14"/>
                <w:color w:val="auto"/>
              </w:rPr>
              <w:t>Stock compensaton</w:t>
            </w:r>
          </w:p>
        </w:tc>
        <w:tc>
          <w:tcPr>
            <w:tcW w:w="3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alibri" w:cs="Calibri" w:eastAsia="Calibri" w:hAnsi="Calibri"/>
                <w:sz w:val="14"/>
                <w:szCs w:val="14"/>
                <w:color w:val="auto"/>
              </w:rPr>
              <w:t>932</w:t>
            </w: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alibri" w:cs="Calibri" w:eastAsia="Calibri" w:hAnsi="Calibri"/>
                <w:sz w:val="14"/>
                <w:szCs w:val="14"/>
                <w:color w:val="auto"/>
              </w:rPr>
              <w:t>932</w:t>
            </w:r>
          </w:p>
        </w:tc>
        <w:tc>
          <w:tcPr>
            <w:tcW w:w="480" w:type="dxa"/>
            <w:vAlign w:val="bottom"/>
          </w:tcPr>
          <w:p>
            <w:pPr>
              <w:spacing w:after="0"/>
              <w:rPr>
                <w:sz w:val="14"/>
                <w:szCs w:val="14"/>
                <w:color w:val="auto"/>
              </w:rPr>
            </w:pPr>
          </w:p>
        </w:tc>
      </w:tr>
      <w:tr>
        <w:trPr>
          <w:trHeight w:val="33"/>
        </w:trPr>
        <w:tc>
          <w:tcPr>
            <w:tcW w:w="286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183"/>
        </w:trPr>
        <w:tc>
          <w:tcPr>
            <w:tcW w:w="2860" w:type="dxa"/>
            <w:vAlign w:val="bottom"/>
            <w:tcBorders>
              <w:bottom w:val="single" w:sz="8" w:color="CCECFF"/>
            </w:tcBorders>
            <w:shd w:val="clear" w:color="auto" w:fill="CCECFF"/>
          </w:tcPr>
          <w:p>
            <w:pPr>
              <w:ind w:left="160"/>
              <w:spacing w:after="0"/>
              <w:rPr>
                <w:sz w:val="20"/>
                <w:szCs w:val="20"/>
                <w:color w:val="auto"/>
              </w:rPr>
            </w:pPr>
            <w:r>
              <w:rPr>
                <w:rFonts w:ascii="Calibri" w:cs="Calibri" w:eastAsia="Calibri" w:hAnsi="Calibri"/>
                <w:sz w:val="14"/>
                <w:szCs w:val="14"/>
                <w:color w:val="auto"/>
              </w:rPr>
              <w:t>Non-recurring inventory reserve adjustment</w:t>
            </w:r>
          </w:p>
        </w:tc>
        <w:tc>
          <w:tcPr>
            <w:tcW w:w="3380" w:type="dxa"/>
            <w:vAlign w:val="bottom"/>
            <w:tcBorders>
              <w:bottom w:val="single" w:sz="8" w:color="CCECFF"/>
            </w:tcBorders>
            <w:shd w:val="clear" w:color="auto" w:fill="CCECFF"/>
          </w:tcPr>
          <w:p>
            <w:pPr>
              <w:spacing w:after="0"/>
              <w:rPr>
                <w:sz w:val="15"/>
                <w:szCs w:val="15"/>
                <w:color w:val="auto"/>
              </w:rPr>
            </w:pPr>
          </w:p>
        </w:tc>
        <w:tc>
          <w:tcPr>
            <w:tcW w:w="1180" w:type="dxa"/>
            <w:vAlign w:val="bottom"/>
            <w:tcBorders>
              <w:bottom w:val="single" w:sz="8" w:color="CCECFF"/>
            </w:tcBorders>
            <w:shd w:val="clear" w:color="auto" w:fill="CCECFF"/>
          </w:tcPr>
          <w:p>
            <w:pPr>
              <w:spacing w:after="0"/>
              <w:rPr>
                <w:sz w:val="15"/>
                <w:szCs w:val="15"/>
                <w:color w:val="auto"/>
              </w:rPr>
            </w:pPr>
          </w:p>
        </w:tc>
        <w:tc>
          <w:tcPr>
            <w:tcW w:w="880" w:type="dxa"/>
            <w:vAlign w:val="bottom"/>
            <w:tcBorders>
              <w:bottom w:val="single" w:sz="8" w:color="CCECFF"/>
            </w:tcBorders>
            <w:shd w:val="clear" w:color="auto" w:fill="CCECFF"/>
          </w:tcPr>
          <w:p>
            <w:pPr>
              <w:jc w:val="right"/>
              <w:spacing w:after="0"/>
              <w:rPr>
                <w:sz w:val="20"/>
                <w:szCs w:val="20"/>
                <w:color w:val="auto"/>
              </w:rPr>
            </w:pPr>
            <w:r>
              <w:rPr>
                <w:rFonts w:ascii="Calibri" w:cs="Calibri" w:eastAsia="Calibri" w:hAnsi="Calibri"/>
                <w:sz w:val="14"/>
                <w:szCs w:val="14"/>
                <w:color w:val="auto"/>
              </w:rPr>
              <w:t>221</w:t>
            </w:r>
          </w:p>
        </w:tc>
        <w:tc>
          <w:tcPr>
            <w:tcW w:w="420" w:type="dxa"/>
            <w:vAlign w:val="bottom"/>
            <w:tcBorders>
              <w:bottom w:val="single" w:sz="8" w:color="CCECFF"/>
            </w:tcBorders>
            <w:shd w:val="clear" w:color="auto" w:fill="CCECFF"/>
          </w:tcPr>
          <w:p>
            <w:pPr>
              <w:spacing w:after="0"/>
              <w:rPr>
                <w:sz w:val="15"/>
                <w:szCs w:val="15"/>
                <w:color w:val="auto"/>
              </w:rPr>
            </w:pPr>
          </w:p>
        </w:tc>
        <w:tc>
          <w:tcPr>
            <w:tcW w:w="880" w:type="dxa"/>
            <w:vAlign w:val="bottom"/>
            <w:tcBorders>
              <w:bottom w:val="single" w:sz="8" w:color="CCECFF"/>
            </w:tcBorders>
            <w:shd w:val="clear" w:color="auto" w:fill="CCECFF"/>
          </w:tcPr>
          <w:p>
            <w:pPr>
              <w:spacing w:after="0"/>
              <w:rPr>
                <w:sz w:val="15"/>
                <w:szCs w:val="15"/>
                <w:color w:val="auto"/>
              </w:rPr>
            </w:pPr>
          </w:p>
        </w:tc>
        <w:tc>
          <w:tcPr>
            <w:tcW w:w="1640" w:type="dxa"/>
            <w:vAlign w:val="bottom"/>
            <w:tcBorders>
              <w:bottom w:val="single" w:sz="8" w:color="CCECFF"/>
            </w:tcBorders>
            <w:gridSpan w:val="2"/>
            <w:shd w:val="clear" w:color="auto" w:fill="CCECFF"/>
          </w:tcPr>
          <w:p>
            <w:pPr>
              <w:jc w:val="right"/>
              <w:ind w:right="480"/>
              <w:spacing w:after="0"/>
              <w:rPr>
                <w:sz w:val="20"/>
                <w:szCs w:val="20"/>
                <w:color w:val="auto"/>
              </w:rPr>
            </w:pPr>
            <w:r>
              <w:rPr>
                <w:rFonts w:ascii="Calibri" w:cs="Calibri" w:eastAsia="Calibri" w:hAnsi="Calibri"/>
                <w:sz w:val="14"/>
                <w:szCs w:val="14"/>
                <w:color w:val="auto"/>
              </w:rPr>
              <w:t>—</w:t>
            </w:r>
          </w:p>
        </w:tc>
      </w:tr>
      <w:tr>
        <w:trPr>
          <w:trHeight w:val="170"/>
        </w:trPr>
        <w:tc>
          <w:tcPr>
            <w:tcW w:w="2860" w:type="dxa"/>
            <w:vAlign w:val="bottom"/>
          </w:tcPr>
          <w:p>
            <w:pPr>
              <w:ind w:left="160"/>
              <w:spacing w:after="0"/>
              <w:rPr>
                <w:sz w:val="20"/>
                <w:szCs w:val="20"/>
                <w:color w:val="auto"/>
              </w:rPr>
            </w:pPr>
            <w:r>
              <w:rPr>
                <w:rFonts w:ascii="Calibri" w:cs="Calibri" w:eastAsia="Calibri" w:hAnsi="Calibri"/>
                <w:sz w:val="14"/>
                <w:szCs w:val="14"/>
                <w:color w:val="auto"/>
              </w:rPr>
              <w:t>Technology implementaton</w:t>
            </w:r>
          </w:p>
        </w:tc>
        <w:tc>
          <w:tcPr>
            <w:tcW w:w="3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00" w:type="dxa"/>
            <w:vAlign w:val="bottom"/>
            <w:gridSpan w:val="2"/>
          </w:tcPr>
          <w:p>
            <w:pPr>
              <w:jc w:val="right"/>
              <w:ind w:right="440"/>
              <w:spacing w:after="0"/>
              <w:rPr>
                <w:sz w:val="20"/>
                <w:szCs w:val="20"/>
                <w:color w:val="auto"/>
              </w:rPr>
            </w:pPr>
            <w:r>
              <w:rPr>
                <w:rFonts w:ascii="Calibri" w:cs="Calibri" w:eastAsia="Calibri" w:hAnsi="Calibri"/>
                <w:sz w:val="14"/>
                <w:szCs w:val="14"/>
                <w:color w:val="auto"/>
              </w:rPr>
              <w:t>—</w:t>
            </w:r>
          </w:p>
        </w:tc>
        <w:tc>
          <w:tcPr>
            <w:tcW w:w="8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alibri" w:cs="Calibri" w:eastAsia="Calibri" w:hAnsi="Calibri"/>
                <w:sz w:val="14"/>
                <w:szCs w:val="14"/>
                <w:color w:val="auto"/>
              </w:rPr>
              <w:t>293</w:t>
            </w:r>
          </w:p>
        </w:tc>
        <w:tc>
          <w:tcPr>
            <w:tcW w:w="480" w:type="dxa"/>
            <w:vAlign w:val="bottom"/>
          </w:tcPr>
          <w:p>
            <w:pPr>
              <w:spacing w:after="0"/>
              <w:rPr>
                <w:sz w:val="14"/>
                <w:szCs w:val="14"/>
                <w:color w:val="auto"/>
              </w:rPr>
            </w:pPr>
          </w:p>
        </w:tc>
      </w:tr>
      <w:tr>
        <w:trPr>
          <w:trHeight w:val="33"/>
        </w:trPr>
        <w:tc>
          <w:tcPr>
            <w:tcW w:w="286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196"/>
        </w:trPr>
        <w:tc>
          <w:tcPr>
            <w:tcW w:w="2860" w:type="dxa"/>
            <w:vAlign w:val="bottom"/>
            <w:tcBorders>
              <w:bottom w:val="single" w:sz="8" w:color="CCECFF"/>
            </w:tcBorders>
            <w:shd w:val="clear" w:color="auto" w:fill="CCECFF"/>
          </w:tcPr>
          <w:p>
            <w:pPr>
              <w:ind w:left="160"/>
              <w:spacing w:after="0"/>
              <w:rPr>
                <w:sz w:val="20"/>
                <w:szCs w:val="20"/>
                <w:color w:val="auto"/>
              </w:rPr>
            </w:pPr>
            <w:r>
              <w:rPr>
                <w:rFonts w:ascii="Calibri" w:cs="Calibri" w:eastAsia="Calibri" w:hAnsi="Calibri"/>
                <w:sz w:val="14"/>
                <w:szCs w:val="14"/>
                <w:color w:val="auto"/>
              </w:rPr>
              <w:t>Emerging growth status transiton costs</w:t>
            </w:r>
          </w:p>
        </w:tc>
        <w:tc>
          <w:tcPr>
            <w:tcW w:w="3380" w:type="dxa"/>
            <w:vAlign w:val="bottom"/>
            <w:tcBorders>
              <w:bottom w:val="single" w:sz="8" w:color="CCECFF"/>
            </w:tcBorders>
            <w:shd w:val="clear" w:color="auto" w:fill="CCECFF"/>
          </w:tcPr>
          <w:p>
            <w:pPr>
              <w:spacing w:after="0"/>
              <w:rPr>
                <w:sz w:val="17"/>
                <w:szCs w:val="17"/>
                <w:color w:val="auto"/>
              </w:rPr>
            </w:pPr>
          </w:p>
        </w:tc>
        <w:tc>
          <w:tcPr>
            <w:tcW w:w="1180" w:type="dxa"/>
            <w:vAlign w:val="bottom"/>
            <w:tcBorders>
              <w:bottom w:val="single" w:sz="8" w:color="auto"/>
            </w:tcBorders>
            <w:shd w:val="clear" w:color="auto" w:fill="CCECFF"/>
          </w:tcPr>
          <w:p>
            <w:pPr>
              <w:spacing w:after="0"/>
              <w:rPr>
                <w:sz w:val="17"/>
                <w:szCs w:val="17"/>
                <w:color w:val="auto"/>
              </w:rPr>
            </w:pPr>
          </w:p>
        </w:tc>
        <w:tc>
          <w:tcPr>
            <w:tcW w:w="880" w:type="dxa"/>
            <w:vAlign w:val="bottom"/>
            <w:tcBorders>
              <w:bottom w:val="single" w:sz="8" w:color="auto"/>
            </w:tcBorders>
            <w:shd w:val="clear" w:color="auto" w:fill="CCECFF"/>
          </w:tcPr>
          <w:p>
            <w:pPr>
              <w:jc w:val="right"/>
              <w:spacing w:after="0"/>
              <w:rPr>
                <w:sz w:val="20"/>
                <w:szCs w:val="20"/>
                <w:color w:val="auto"/>
              </w:rPr>
            </w:pPr>
            <w:r>
              <w:rPr>
                <w:rFonts w:ascii="Calibri" w:cs="Calibri" w:eastAsia="Calibri" w:hAnsi="Calibri"/>
                <w:sz w:val="14"/>
                <w:szCs w:val="14"/>
                <w:color w:val="auto"/>
              </w:rPr>
              <w:t>42</w:t>
            </w:r>
          </w:p>
        </w:tc>
        <w:tc>
          <w:tcPr>
            <w:tcW w:w="420" w:type="dxa"/>
            <w:vAlign w:val="bottom"/>
            <w:tcBorders>
              <w:bottom w:val="single" w:sz="8" w:color="CCECFF"/>
            </w:tcBorders>
            <w:shd w:val="clear" w:color="auto" w:fill="CCECFF"/>
          </w:tcPr>
          <w:p>
            <w:pPr>
              <w:spacing w:after="0"/>
              <w:rPr>
                <w:sz w:val="17"/>
                <w:szCs w:val="17"/>
                <w:color w:val="auto"/>
              </w:rPr>
            </w:pPr>
          </w:p>
        </w:tc>
        <w:tc>
          <w:tcPr>
            <w:tcW w:w="880" w:type="dxa"/>
            <w:vAlign w:val="bottom"/>
            <w:tcBorders>
              <w:bottom w:val="single" w:sz="8" w:color="auto"/>
            </w:tcBorders>
            <w:shd w:val="clear" w:color="auto" w:fill="CCECFF"/>
          </w:tcPr>
          <w:p>
            <w:pPr>
              <w:spacing w:after="0"/>
              <w:rPr>
                <w:sz w:val="17"/>
                <w:szCs w:val="17"/>
                <w:color w:val="auto"/>
              </w:rPr>
            </w:pPr>
          </w:p>
        </w:tc>
        <w:tc>
          <w:tcPr>
            <w:tcW w:w="1160" w:type="dxa"/>
            <w:vAlign w:val="bottom"/>
            <w:tcBorders>
              <w:bottom w:val="single" w:sz="8" w:color="auto"/>
            </w:tcBorders>
            <w:shd w:val="clear" w:color="auto" w:fill="CCECFF"/>
          </w:tcPr>
          <w:p>
            <w:pPr>
              <w:jc w:val="right"/>
              <w:spacing w:after="0"/>
              <w:rPr>
                <w:sz w:val="20"/>
                <w:szCs w:val="20"/>
                <w:color w:val="auto"/>
              </w:rPr>
            </w:pPr>
            <w:r>
              <w:rPr>
                <w:rFonts w:ascii="Calibri" w:cs="Calibri" w:eastAsia="Calibri" w:hAnsi="Calibri"/>
                <w:sz w:val="14"/>
                <w:szCs w:val="14"/>
                <w:color w:val="auto"/>
              </w:rPr>
              <w:t>—</w:t>
            </w:r>
          </w:p>
        </w:tc>
        <w:tc>
          <w:tcPr>
            <w:tcW w:w="480" w:type="dxa"/>
            <w:vAlign w:val="bottom"/>
            <w:tcBorders>
              <w:bottom w:val="single" w:sz="8" w:color="CCECFF"/>
            </w:tcBorders>
            <w:shd w:val="clear" w:color="auto" w:fill="CCECFF"/>
          </w:tcPr>
          <w:p>
            <w:pPr>
              <w:spacing w:after="0"/>
              <w:rPr>
                <w:sz w:val="17"/>
                <w:szCs w:val="17"/>
                <w:color w:val="auto"/>
              </w:rPr>
            </w:pPr>
          </w:p>
        </w:tc>
      </w:tr>
      <w:tr>
        <w:trPr>
          <w:trHeight w:val="203"/>
        </w:trPr>
        <w:tc>
          <w:tcPr>
            <w:tcW w:w="2860" w:type="dxa"/>
            <w:vAlign w:val="bottom"/>
          </w:tcPr>
          <w:p>
            <w:pPr>
              <w:ind w:left="20"/>
              <w:spacing w:after="0"/>
              <w:rPr>
                <w:sz w:val="20"/>
                <w:szCs w:val="20"/>
                <w:color w:val="auto"/>
              </w:rPr>
            </w:pPr>
            <w:r>
              <w:rPr>
                <w:rFonts w:ascii="Calibri" w:cs="Calibri" w:eastAsia="Calibri" w:hAnsi="Calibri"/>
                <w:sz w:val="14"/>
                <w:szCs w:val="14"/>
                <w:color w:val="auto"/>
              </w:rPr>
              <w:t>Non-GAAP operatng income</w:t>
            </w:r>
          </w:p>
        </w:tc>
        <w:tc>
          <w:tcPr>
            <w:tcW w:w="4560" w:type="dxa"/>
            <w:vAlign w:val="bottom"/>
            <w:gridSpan w:val="2"/>
          </w:tcPr>
          <w:p>
            <w:pPr>
              <w:jc w:val="right"/>
              <w:ind w:right="1028"/>
              <w:spacing w:after="0"/>
              <w:rPr>
                <w:sz w:val="20"/>
                <w:szCs w:val="20"/>
                <w:color w:val="auto"/>
              </w:rPr>
            </w:pPr>
            <w:r>
              <w:rPr>
                <w:rFonts w:ascii="Calibri" w:cs="Calibri" w:eastAsia="Calibri" w:hAnsi="Calibri"/>
                <w:sz w:val="14"/>
                <w:szCs w:val="14"/>
                <w:color w:val="auto"/>
              </w:rPr>
              <w:t>$</w:t>
            </w:r>
          </w:p>
        </w:tc>
        <w:tc>
          <w:tcPr>
            <w:tcW w:w="880" w:type="dxa"/>
            <w:vAlign w:val="bottom"/>
          </w:tcPr>
          <w:p>
            <w:pPr>
              <w:jc w:val="right"/>
              <w:spacing w:after="0"/>
              <w:rPr>
                <w:sz w:val="20"/>
                <w:szCs w:val="20"/>
                <w:color w:val="auto"/>
              </w:rPr>
            </w:pPr>
            <w:r>
              <w:rPr>
                <w:rFonts w:ascii="Calibri" w:cs="Calibri" w:eastAsia="Calibri" w:hAnsi="Calibri"/>
                <w:sz w:val="14"/>
                <w:szCs w:val="14"/>
                <w:color w:val="auto"/>
              </w:rPr>
              <w:t>740</w:t>
            </w:r>
          </w:p>
        </w:tc>
        <w:tc>
          <w:tcPr>
            <w:tcW w:w="420" w:type="dxa"/>
            <w:vAlign w:val="bottom"/>
          </w:tcPr>
          <w:p>
            <w:pPr>
              <w:spacing w:after="0"/>
              <w:rPr>
                <w:sz w:val="17"/>
                <w:szCs w:val="17"/>
                <w:color w:val="auto"/>
              </w:rPr>
            </w:pPr>
          </w:p>
        </w:tc>
        <w:tc>
          <w:tcPr>
            <w:tcW w:w="880" w:type="dxa"/>
            <w:vAlign w:val="bottom"/>
          </w:tcPr>
          <w:p>
            <w:pPr>
              <w:jc w:val="right"/>
              <w:ind w:right="708"/>
              <w:spacing w:after="0"/>
              <w:rPr>
                <w:sz w:val="20"/>
                <w:szCs w:val="20"/>
                <w:color w:val="auto"/>
              </w:rPr>
            </w:pPr>
            <w:r>
              <w:rPr>
                <w:rFonts w:ascii="Calibri" w:cs="Calibri" w:eastAsia="Calibri" w:hAnsi="Calibri"/>
                <w:sz w:val="14"/>
                <w:szCs w:val="14"/>
                <w:color w:val="auto"/>
              </w:rPr>
              <w:t>$</w:t>
            </w:r>
          </w:p>
        </w:tc>
        <w:tc>
          <w:tcPr>
            <w:tcW w:w="1160" w:type="dxa"/>
            <w:vAlign w:val="bottom"/>
          </w:tcPr>
          <w:p>
            <w:pPr>
              <w:jc w:val="right"/>
              <w:spacing w:after="0"/>
              <w:rPr>
                <w:sz w:val="20"/>
                <w:szCs w:val="20"/>
                <w:color w:val="auto"/>
              </w:rPr>
            </w:pPr>
            <w:r>
              <w:rPr>
                <w:rFonts w:ascii="Calibri" w:cs="Calibri" w:eastAsia="Calibri" w:hAnsi="Calibri"/>
                <w:sz w:val="14"/>
                <w:szCs w:val="14"/>
                <w:color w:val="auto"/>
              </w:rPr>
              <w:t>100</w:t>
            </w:r>
          </w:p>
        </w:tc>
        <w:tc>
          <w:tcPr>
            <w:tcW w:w="480" w:type="dxa"/>
            <w:vAlign w:val="bottom"/>
          </w:tcPr>
          <w:p>
            <w:pPr>
              <w:spacing w:after="0"/>
              <w:rPr>
                <w:sz w:val="17"/>
                <w:szCs w:val="17"/>
                <w:color w:val="auto"/>
              </w:rPr>
            </w:pPr>
          </w:p>
        </w:tc>
      </w:tr>
      <w:tr>
        <w:trPr>
          <w:trHeight w:val="20"/>
        </w:trPr>
        <w:tc>
          <w:tcPr>
            <w:tcW w:w="28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75"/>
        </w:trPr>
        <w:tc>
          <w:tcPr>
            <w:tcW w:w="2860" w:type="dxa"/>
            <w:vAlign w:val="bottom"/>
            <w:shd w:val="clear" w:color="auto" w:fill="CCECFF"/>
          </w:tcPr>
          <w:p>
            <w:pPr>
              <w:spacing w:after="0"/>
              <w:rPr>
                <w:sz w:val="6"/>
                <w:szCs w:val="6"/>
                <w:color w:val="auto"/>
              </w:rPr>
            </w:pPr>
          </w:p>
        </w:tc>
        <w:tc>
          <w:tcPr>
            <w:tcW w:w="3380" w:type="dxa"/>
            <w:vAlign w:val="bottom"/>
            <w:shd w:val="clear" w:color="auto" w:fill="CCECFF"/>
          </w:tcPr>
          <w:p>
            <w:pPr>
              <w:spacing w:after="0"/>
              <w:rPr>
                <w:sz w:val="6"/>
                <w:szCs w:val="6"/>
                <w:color w:val="auto"/>
              </w:rPr>
            </w:pPr>
          </w:p>
        </w:tc>
        <w:tc>
          <w:tcPr>
            <w:tcW w:w="1180" w:type="dxa"/>
            <w:vAlign w:val="bottom"/>
            <w:shd w:val="clear" w:color="auto" w:fill="CCECFF"/>
          </w:tcPr>
          <w:p>
            <w:pPr>
              <w:spacing w:after="0"/>
              <w:rPr>
                <w:sz w:val="6"/>
                <w:szCs w:val="6"/>
                <w:color w:val="auto"/>
              </w:rPr>
            </w:pPr>
          </w:p>
        </w:tc>
        <w:tc>
          <w:tcPr>
            <w:tcW w:w="880" w:type="dxa"/>
            <w:vAlign w:val="bottom"/>
            <w:shd w:val="clear" w:color="auto" w:fill="CCECFF"/>
          </w:tcPr>
          <w:p>
            <w:pPr>
              <w:spacing w:after="0"/>
              <w:rPr>
                <w:sz w:val="6"/>
                <w:szCs w:val="6"/>
                <w:color w:val="auto"/>
              </w:rPr>
            </w:pPr>
          </w:p>
        </w:tc>
        <w:tc>
          <w:tcPr>
            <w:tcW w:w="420" w:type="dxa"/>
            <w:vAlign w:val="bottom"/>
            <w:shd w:val="clear" w:color="auto" w:fill="CCECFF"/>
          </w:tcPr>
          <w:p>
            <w:pPr>
              <w:spacing w:after="0"/>
              <w:rPr>
                <w:sz w:val="6"/>
                <w:szCs w:val="6"/>
                <w:color w:val="auto"/>
              </w:rPr>
            </w:pPr>
          </w:p>
        </w:tc>
        <w:tc>
          <w:tcPr>
            <w:tcW w:w="880" w:type="dxa"/>
            <w:vAlign w:val="bottom"/>
            <w:shd w:val="clear" w:color="auto" w:fill="CCECFF"/>
          </w:tcPr>
          <w:p>
            <w:pPr>
              <w:spacing w:after="0"/>
              <w:rPr>
                <w:sz w:val="6"/>
                <w:szCs w:val="6"/>
                <w:color w:val="auto"/>
              </w:rPr>
            </w:pPr>
          </w:p>
        </w:tc>
        <w:tc>
          <w:tcPr>
            <w:tcW w:w="1160" w:type="dxa"/>
            <w:vAlign w:val="bottom"/>
            <w:shd w:val="clear" w:color="auto" w:fill="CCECFF"/>
          </w:tcPr>
          <w:p>
            <w:pPr>
              <w:spacing w:after="0"/>
              <w:rPr>
                <w:sz w:val="6"/>
                <w:szCs w:val="6"/>
                <w:color w:val="auto"/>
              </w:rPr>
            </w:pPr>
          </w:p>
        </w:tc>
        <w:tc>
          <w:tcPr>
            <w:tcW w:w="480" w:type="dxa"/>
            <w:vAlign w:val="bottom"/>
            <w:shd w:val="clear" w:color="auto" w:fill="CCECFF"/>
          </w:tcPr>
          <w:p>
            <w:pPr>
              <w:spacing w:after="0"/>
              <w:rPr>
                <w:sz w:val="6"/>
                <w:szCs w:val="6"/>
                <w:color w:val="auto"/>
              </w:rPr>
            </w:pPr>
          </w:p>
        </w:tc>
      </w:tr>
      <w:tr>
        <w:trPr>
          <w:trHeight w:val="170"/>
        </w:trPr>
        <w:tc>
          <w:tcPr>
            <w:tcW w:w="2860" w:type="dxa"/>
            <w:vAlign w:val="bottom"/>
          </w:tcPr>
          <w:p>
            <w:pPr>
              <w:ind w:left="20"/>
              <w:spacing w:after="0"/>
              <w:rPr>
                <w:sz w:val="20"/>
                <w:szCs w:val="20"/>
                <w:color w:val="auto"/>
              </w:rPr>
            </w:pPr>
            <w:r>
              <w:rPr>
                <w:rFonts w:ascii="Calibri" w:cs="Calibri" w:eastAsia="Calibri" w:hAnsi="Calibri"/>
                <w:sz w:val="14"/>
                <w:szCs w:val="14"/>
                <w:color w:val="auto"/>
              </w:rPr>
              <w:t>GAAP net loss</w:t>
            </w:r>
          </w:p>
        </w:tc>
        <w:tc>
          <w:tcPr>
            <w:tcW w:w="4560" w:type="dxa"/>
            <w:vAlign w:val="bottom"/>
            <w:gridSpan w:val="2"/>
          </w:tcPr>
          <w:p>
            <w:pPr>
              <w:jc w:val="right"/>
              <w:ind w:right="1028"/>
              <w:spacing w:after="0"/>
              <w:rPr>
                <w:sz w:val="20"/>
                <w:szCs w:val="20"/>
                <w:color w:val="auto"/>
              </w:rPr>
            </w:pPr>
            <w:r>
              <w:rPr>
                <w:rFonts w:ascii="Calibri" w:cs="Calibri" w:eastAsia="Calibri" w:hAnsi="Calibri"/>
                <w:sz w:val="14"/>
                <w:szCs w:val="14"/>
                <w:color w:val="auto"/>
              </w:rPr>
              <w:t>$</w:t>
            </w:r>
          </w:p>
        </w:tc>
        <w:tc>
          <w:tcPr>
            <w:tcW w:w="1300" w:type="dxa"/>
            <w:vAlign w:val="bottom"/>
            <w:gridSpan w:val="2"/>
          </w:tcPr>
          <w:p>
            <w:pPr>
              <w:jc w:val="right"/>
              <w:ind w:right="360"/>
              <w:spacing w:after="0"/>
              <w:rPr>
                <w:sz w:val="20"/>
                <w:szCs w:val="20"/>
                <w:color w:val="auto"/>
              </w:rPr>
            </w:pPr>
            <w:r>
              <w:rPr>
                <w:rFonts w:ascii="Calibri" w:cs="Calibri" w:eastAsia="Calibri" w:hAnsi="Calibri"/>
                <w:sz w:val="14"/>
                <w:szCs w:val="14"/>
                <w:color w:val="auto"/>
              </w:rPr>
              <w:t>(2,365 )</w:t>
            </w:r>
          </w:p>
        </w:tc>
        <w:tc>
          <w:tcPr>
            <w:tcW w:w="880" w:type="dxa"/>
            <w:vAlign w:val="bottom"/>
          </w:tcPr>
          <w:p>
            <w:pPr>
              <w:jc w:val="right"/>
              <w:ind w:right="708"/>
              <w:spacing w:after="0"/>
              <w:rPr>
                <w:sz w:val="20"/>
                <w:szCs w:val="20"/>
                <w:color w:val="auto"/>
              </w:rPr>
            </w:pPr>
            <w:r>
              <w:rPr>
                <w:rFonts w:ascii="Calibri" w:cs="Calibri" w:eastAsia="Calibri" w:hAnsi="Calibri"/>
                <w:sz w:val="14"/>
                <w:szCs w:val="14"/>
                <w:color w:val="auto"/>
              </w:rPr>
              <w:t>$</w:t>
            </w:r>
          </w:p>
        </w:tc>
        <w:tc>
          <w:tcPr>
            <w:tcW w:w="1640" w:type="dxa"/>
            <w:vAlign w:val="bottom"/>
            <w:gridSpan w:val="2"/>
          </w:tcPr>
          <w:p>
            <w:pPr>
              <w:jc w:val="right"/>
              <w:ind w:right="420"/>
              <w:spacing w:after="0"/>
              <w:rPr>
                <w:sz w:val="20"/>
                <w:szCs w:val="20"/>
                <w:color w:val="auto"/>
              </w:rPr>
            </w:pPr>
            <w:r>
              <w:rPr>
                <w:rFonts w:ascii="Calibri" w:cs="Calibri" w:eastAsia="Calibri" w:hAnsi="Calibri"/>
                <w:sz w:val="14"/>
                <w:szCs w:val="14"/>
                <w:color w:val="auto"/>
              </w:rPr>
              <w:t>(4,113 )</w:t>
            </w:r>
          </w:p>
        </w:tc>
      </w:tr>
      <w:tr>
        <w:trPr>
          <w:trHeight w:val="33"/>
        </w:trPr>
        <w:tc>
          <w:tcPr>
            <w:tcW w:w="286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183"/>
        </w:trPr>
        <w:tc>
          <w:tcPr>
            <w:tcW w:w="2860" w:type="dxa"/>
            <w:vAlign w:val="bottom"/>
            <w:tcBorders>
              <w:bottom w:val="single" w:sz="8" w:color="CCECFF"/>
            </w:tcBorders>
            <w:shd w:val="clear" w:color="auto" w:fill="CCECFF"/>
          </w:tcPr>
          <w:p>
            <w:pPr>
              <w:ind w:left="160"/>
              <w:spacing w:after="0"/>
              <w:rPr>
                <w:sz w:val="20"/>
                <w:szCs w:val="20"/>
                <w:color w:val="auto"/>
              </w:rPr>
            </w:pPr>
            <w:r>
              <w:rPr>
                <w:rFonts w:ascii="Calibri" w:cs="Calibri" w:eastAsia="Calibri" w:hAnsi="Calibri"/>
                <w:sz w:val="14"/>
                <w:szCs w:val="14"/>
                <w:color w:val="auto"/>
              </w:rPr>
              <w:t>Amortzaton of acquired intangible assets</w:t>
            </w:r>
          </w:p>
        </w:tc>
        <w:tc>
          <w:tcPr>
            <w:tcW w:w="3380" w:type="dxa"/>
            <w:vAlign w:val="bottom"/>
            <w:tcBorders>
              <w:bottom w:val="single" w:sz="8" w:color="CCECFF"/>
            </w:tcBorders>
            <w:shd w:val="clear" w:color="auto" w:fill="CCECFF"/>
          </w:tcPr>
          <w:p>
            <w:pPr>
              <w:spacing w:after="0"/>
              <w:rPr>
                <w:sz w:val="15"/>
                <w:szCs w:val="15"/>
                <w:color w:val="auto"/>
              </w:rPr>
            </w:pPr>
          </w:p>
        </w:tc>
        <w:tc>
          <w:tcPr>
            <w:tcW w:w="1180" w:type="dxa"/>
            <w:vAlign w:val="bottom"/>
            <w:tcBorders>
              <w:bottom w:val="single" w:sz="8" w:color="CCECFF"/>
            </w:tcBorders>
            <w:shd w:val="clear" w:color="auto" w:fill="CCECFF"/>
          </w:tcPr>
          <w:p>
            <w:pPr>
              <w:spacing w:after="0"/>
              <w:rPr>
                <w:sz w:val="15"/>
                <w:szCs w:val="15"/>
                <w:color w:val="auto"/>
              </w:rPr>
            </w:pPr>
          </w:p>
        </w:tc>
        <w:tc>
          <w:tcPr>
            <w:tcW w:w="880" w:type="dxa"/>
            <w:vAlign w:val="bottom"/>
            <w:tcBorders>
              <w:bottom w:val="single" w:sz="8" w:color="CCECFF"/>
            </w:tcBorders>
            <w:shd w:val="clear" w:color="auto" w:fill="CCECFF"/>
          </w:tcPr>
          <w:p>
            <w:pPr>
              <w:jc w:val="right"/>
              <w:spacing w:after="0"/>
              <w:rPr>
                <w:sz w:val="20"/>
                <w:szCs w:val="20"/>
                <w:color w:val="auto"/>
              </w:rPr>
            </w:pPr>
            <w:r>
              <w:rPr>
                <w:rFonts w:ascii="Calibri" w:cs="Calibri" w:eastAsia="Calibri" w:hAnsi="Calibri"/>
                <w:sz w:val="14"/>
                <w:szCs w:val="14"/>
                <w:color w:val="auto"/>
              </w:rPr>
              <w:t>2,119</w:t>
            </w:r>
          </w:p>
        </w:tc>
        <w:tc>
          <w:tcPr>
            <w:tcW w:w="420" w:type="dxa"/>
            <w:vAlign w:val="bottom"/>
            <w:tcBorders>
              <w:bottom w:val="single" w:sz="8" w:color="CCECFF"/>
            </w:tcBorders>
            <w:shd w:val="clear" w:color="auto" w:fill="CCECFF"/>
          </w:tcPr>
          <w:p>
            <w:pPr>
              <w:spacing w:after="0"/>
              <w:rPr>
                <w:sz w:val="15"/>
                <w:szCs w:val="15"/>
                <w:color w:val="auto"/>
              </w:rPr>
            </w:pPr>
          </w:p>
        </w:tc>
        <w:tc>
          <w:tcPr>
            <w:tcW w:w="880" w:type="dxa"/>
            <w:vAlign w:val="bottom"/>
            <w:tcBorders>
              <w:bottom w:val="single" w:sz="8" w:color="CCECFF"/>
            </w:tcBorders>
            <w:shd w:val="clear" w:color="auto" w:fill="CCECFF"/>
          </w:tcPr>
          <w:p>
            <w:pPr>
              <w:spacing w:after="0"/>
              <w:rPr>
                <w:sz w:val="15"/>
                <w:szCs w:val="15"/>
                <w:color w:val="auto"/>
              </w:rPr>
            </w:pPr>
          </w:p>
        </w:tc>
        <w:tc>
          <w:tcPr>
            <w:tcW w:w="1160" w:type="dxa"/>
            <w:vAlign w:val="bottom"/>
            <w:tcBorders>
              <w:bottom w:val="single" w:sz="8" w:color="CCECFF"/>
            </w:tcBorders>
            <w:shd w:val="clear" w:color="auto" w:fill="CCECFF"/>
          </w:tcPr>
          <w:p>
            <w:pPr>
              <w:jc w:val="right"/>
              <w:spacing w:after="0"/>
              <w:rPr>
                <w:sz w:val="20"/>
                <w:szCs w:val="20"/>
                <w:color w:val="auto"/>
              </w:rPr>
            </w:pPr>
            <w:r>
              <w:rPr>
                <w:rFonts w:ascii="Calibri" w:cs="Calibri" w:eastAsia="Calibri" w:hAnsi="Calibri"/>
                <w:sz w:val="14"/>
                <w:szCs w:val="14"/>
                <w:color w:val="auto"/>
              </w:rPr>
              <w:t>2,960</w:t>
            </w:r>
          </w:p>
        </w:tc>
        <w:tc>
          <w:tcPr>
            <w:tcW w:w="480" w:type="dxa"/>
            <w:vAlign w:val="bottom"/>
            <w:tcBorders>
              <w:bottom w:val="single" w:sz="8" w:color="CCECFF"/>
            </w:tcBorders>
            <w:shd w:val="clear" w:color="auto" w:fill="CCECFF"/>
          </w:tcPr>
          <w:p>
            <w:pPr>
              <w:spacing w:after="0"/>
              <w:rPr>
                <w:sz w:val="15"/>
                <w:szCs w:val="15"/>
                <w:color w:val="auto"/>
              </w:rPr>
            </w:pPr>
          </w:p>
        </w:tc>
      </w:tr>
      <w:tr>
        <w:trPr>
          <w:trHeight w:val="170"/>
        </w:trPr>
        <w:tc>
          <w:tcPr>
            <w:tcW w:w="2860" w:type="dxa"/>
            <w:vAlign w:val="bottom"/>
          </w:tcPr>
          <w:p>
            <w:pPr>
              <w:ind w:left="160"/>
              <w:spacing w:after="0"/>
              <w:rPr>
                <w:sz w:val="20"/>
                <w:szCs w:val="20"/>
                <w:color w:val="auto"/>
              </w:rPr>
            </w:pPr>
            <w:r>
              <w:rPr>
                <w:rFonts w:ascii="Calibri" w:cs="Calibri" w:eastAsia="Calibri" w:hAnsi="Calibri"/>
                <w:sz w:val="14"/>
                <w:szCs w:val="14"/>
                <w:color w:val="auto"/>
              </w:rPr>
              <w:t>Stock compensaton</w:t>
            </w:r>
          </w:p>
        </w:tc>
        <w:tc>
          <w:tcPr>
            <w:tcW w:w="3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alibri" w:cs="Calibri" w:eastAsia="Calibri" w:hAnsi="Calibri"/>
                <w:sz w:val="14"/>
                <w:szCs w:val="14"/>
                <w:color w:val="auto"/>
              </w:rPr>
              <w:t>932</w:t>
            </w: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alibri" w:cs="Calibri" w:eastAsia="Calibri" w:hAnsi="Calibri"/>
                <w:sz w:val="14"/>
                <w:szCs w:val="14"/>
                <w:color w:val="auto"/>
              </w:rPr>
              <w:t>932</w:t>
            </w:r>
          </w:p>
        </w:tc>
        <w:tc>
          <w:tcPr>
            <w:tcW w:w="480" w:type="dxa"/>
            <w:vAlign w:val="bottom"/>
          </w:tcPr>
          <w:p>
            <w:pPr>
              <w:spacing w:after="0"/>
              <w:rPr>
                <w:sz w:val="14"/>
                <w:szCs w:val="14"/>
                <w:color w:val="auto"/>
              </w:rPr>
            </w:pPr>
          </w:p>
        </w:tc>
      </w:tr>
      <w:tr>
        <w:trPr>
          <w:trHeight w:val="33"/>
        </w:trPr>
        <w:tc>
          <w:tcPr>
            <w:tcW w:w="286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183"/>
        </w:trPr>
        <w:tc>
          <w:tcPr>
            <w:tcW w:w="2860" w:type="dxa"/>
            <w:vAlign w:val="bottom"/>
            <w:tcBorders>
              <w:bottom w:val="single" w:sz="8" w:color="CCECFF"/>
            </w:tcBorders>
            <w:shd w:val="clear" w:color="auto" w:fill="CCECFF"/>
          </w:tcPr>
          <w:p>
            <w:pPr>
              <w:ind w:left="160"/>
              <w:spacing w:after="0"/>
              <w:rPr>
                <w:sz w:val="20"/>
                <w:szCs w:val="20"/>
                <w:color w:val="auto"/>
              </w:rPr>
            </w:pPr>
            <w:r>
              <w:rPr>
                <w:rFonts w:ascii="Calibri" w:cs="Calibri" w:eastAsia="Calibri" w:hAnsi="Calibri"/>
                <w:sz w:val="14"/>
                <w:szCs w:val="14"/>
                <w:color w:val="auto"/>
              </w:rPr>
              <w:t>Non-recurring inventory reserve adjustment</w:t>
            </w:r>
          </w:p>
        </w:tc>
        <w:tc>
          <w:tcPr>
            <w:tcW w:w="3380" w:type="dxa"/>
            <w:vAlign w:val="bottom"/>
            <w:tcBorders>
              <w:bottom w:val="single" w:sz="8" w:color="CCECFF"/>
            </w:tcBorders>
            <w:shd w:val="clear" w:color="auto" w:fill="CCECFF"/>
          </w:tcPr>
          <w:p>
            <w:pPr>
              <w:spacing w:after="0"/>
              <w:rPr>
                <w:sz w:val="15"/>
                <w:szCs w:val="15"/>
                <w:color w:val="auto"/>
              </w:rPr>
            </w:pPr>
          </w:p>
        </w:tc>
        <w:tc>
          <w:tcPr>
            <w:tcW w:w="1180" w:type="dxa"/>
            <w:vAlign w:val="bottom"/>
            <w:tcBorders>
              <w:bottom w:val="single" w:sz="8" w:color="CCECFF"/>
            </w:tcBorders>
            <w:shd w:val="clear" w:color="auto" w:fill="CCECFF"/>
          </w:tcPr>
          <w:p>
            <w:pPr>
              <w:spacing w:after="0"/>
              <w:rPr>
                <w:sz w:val="15"/>
                <w:szCs w:val="15"/>
                <w:color w:val="auto"/>
              </w:rPr>
            </w:pPr>
          </w:p>
        </w:tc>
        <w:tc>
          <w:tcPr>
            <w:tcW w:w="880" w:type="dxa"/>
            <w:vAlign w:val="bottom"/>
            <w:tcBorders>
              <w:bottom w:val="single" w:sz="8" w:color="CCECFF"/>
            </w:tcBorders>
            <w:shd w:val="clear" w:color="auto" w:fill="CCECFF"/>
          </w:tcPr>
          <w:p>
            <w:pPr>
              <w:jc w:val="right"/>
              <w:spacing w:after="0"/>
              <w:rPr>
                <w:sz w:val="20"/>
                <w:szCs w:val="20"/>
                <w:color w:val="auto"/>
              </w:rPr>
            </w:pPr>
            <w:r>
              <w:rPr>
                <w:rFonts w:ascii="Calibri" w:cs="Calibri" w:eastAsia="Calibri" w:hAnsi="Calibri"/>
                <w:sz w:val="14"/>
                <w:szCs w:val="14"/>
                <w:color w:val="auto"/>
              </w:rPr>
              <w:t>221</w:t>
            </w:r>
          </w:p>
        </w:tc>
        <w:tc>
          <w:tcPr>
            <w:tcW w:w="420" w:type="dxa"/>
            <w:vAlign w:val="bottom"/>
            <w:tcBorders>
              <w:bottom w:val="single" w:sz="8" w:color="CCECFF"/>
            </w:tcBorders>
            <w:shd w:val="clear" w:color="auto" w:fill="CCECFF"/>
          </w:tcPr>
          <w:p>
            <w:pPr>
              <w:spacing w:after="0"/>
              <w:rPr>
                <w:sz w:val="15"/>
                <w:szCs w:val="15"/>
                <w:color w:val="auto"/>
              </w:rPr>
            </w:pPr>
          </w:p>
        </w:tc>
        <w:tc>
          <w:tcPr>
            <w:tcW w:w="880" w:type="dxa"/>
            <w:vAlign w:val="bottom"/>
            <w:tcBorders>
              <w:bottom w:val="single" w:sz="8" w:color="CCECFF"/>
            </w:tcBorders>
            <w:shd w:val="clear" w:color="auto" w:fill="CCECFF"/>
          </w:tcPr>
          <w:p>
            <w:pPr>
              <w:spacing w:after="0"/>
              <w:rPr>
                <w:sz w:val="15"/>
                <w:szCs w:val="15"/>
                <w:color w:val="auto"/>
              </w:rPr>
            </w:pPr>
          </w:p>
        </w:tc>
        <w:tc>
          <w:tcPr>
            <w:tcW w:w="1640" w:type="dxa"/>
            <w:vAlign w:val="bottom"/>
            <w:tcBorders>
              <w:bottom w:val="single" w:sz="8" w:color="CCECFF"/>
            </w:tcBorders>
            <w:gridSpan w:val="2"/>
            <w:shd w:val="clear" w:color="auto" w:fill="CCECFF"/>
          </w:tcPr>
          <w:p>
            <w:pPr>
              <w:jc w:val="right"/>
              <w:ind w:right="480"/>
              <w:spacing w:after="0"/>
              <w:rPr>
                <w:sz w:val="20"/>
                <w:szCs w:val="20"/>
                <w:color w:val="auto"/>
              </w:rPr>
            </w:pPr>
            <w:r>
              <w:rPr>
                <w:rFonts w:ascii="Calibri" w:cs="Calibri" w:eastAsia="Calibri" w:hAnsi="Calibri"/>
                <w:sz w:val="14"/>
                <w:szCs w:val="14"/>
                <w:color w:val="auto"/>
              </w:rPr>
              <w:t>—</w:t>
            </w:r>
          </w:p>
        </w:tc>
      </w:tr>
      <w:tr>
        <w:trPr>
          <w:trHeight w:val="170"/>
        </w:trPr>
        <w:tc>
          <w:tcPr>
            <w:tcW w:w="2860" w:type="dxa"/>
            <w:vAlign w:val="bottom"/>
          </w:tcPr>
          <w:p>
            <w:pPr>
              <w:ind w:left="160"/>
              <w:spacing w:after="0"/>
              <w:rPr>
                <w:sz w:val="20"/>
                <w:szCs w:val="20"/>
                <w:color w:val="auto"/>
              </w:rPr>
            </w:pPr>
            <w:r>
              <w:rPr>
                <w:rFonts w:ascii="Calibri" w:cs="Calibri" w:eastAsia="Calibri" w:hAnsi="Calibri"/>
                <w:sz w:val="14"/>
                <w:szCs w:val="14"/>
                <w:color w:val="auto"/>
              </w:rPr>
              <w:t>Technology implementaton</w:t>
            </w:r>
          </w:p>
        </w:tc>
        <w:tc>
          <w:tcPr>
            <w:tcW w:w="3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00" w:type="dxa"/>
            <w:vAlign w:val="bottom"/>
            <w:gridSpan w:val="2"/>
          </w:tcPr>
          <w:p>
            <w:pPr>
              <w:jc w:val="right"/>
              <w:ind w:right="440"/>
              <w:spacing w:after="0"/>
              <w:rPr>
                <w:sz w:val="20"/>
                <w:szCs w:val="20"/>
                <w:color w:val="auto"/>
              </w:rPr>
            </w:pPr>
            <w:r>
              <w:rPr>
                <w:rFonts w:ascii="Calibri" w:cs="Calibri" w:eastAsia="Calibri" w:hAnsi="Calibri"/>
                <w:sz w:val="14"/>
                <w:szCs w:val="14"/>
                <w:color w:val="auto"/>
              </w:rPr>
              <w:t>—</w:t>
            </w:r>
          </w:p>
        </w:tc>
        <w:tc>
          <w:tcPr>
            <w:tcW w:w="8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alibri" w:cs="Calibri" w:eastAsia="Calibri" w:hAnsi="Calibri"/>
                <w:sz w:val="14"/>
                <w:szCs w:val="14"/>
                <w:color w:val="auto"/>
              </w:rPr>
              <w:t>293</w:t>
            </w:r>
          </w:p>
        </w:tc>
        <w:tc>
          <w:tcPr>
            <w:tcW w:w="480" w:type="dxa"/>
            <w:vAlign w:val="bottom"/>
          </w:tcPr>
          <w:p>
            <w:pPr>
              <w:spacing w:after="0"/>
              <w:rPr>
                <w:sz w:val="14"/>
                <w:szCs w:val="14"/>
                <w:color w:val="auto"/>
              </w:rPr>
            </w:pPr>
          </w:p>
        </w:tc>
      </w:tr>
      <w:tr>
        <w:trPr>
          <w:trHeight w:val="33"/>
        </w:trPr>
        <w:tc>
          <w:tcPr>
            <w:tcW w:w="286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183"/>
        </w:trPr>
        <w:tc>
          <w:tcPr>
            <w:tcW w:w="2860" w:type="dxa"/>
            <w:vAlign w:val="bottom"/>
            <w:tcBorders>
              <w:bottom w:val="single" w:sz="8" w:color="CCECFF"/>
            </w:tcBorders>
            <w:shd w:val="clear" w:color="auto" w:fill="CCECFF"/>
          </w:tcPr>
          <w:p>
            <w:pPr>
              <w:ind w:left="160"/>
              <w:spacing w:after="0"/>
              <w:rPr>
                <w:sz w:val="20"/>
                <w:szCs w:val="20"/>
                <w:color w:val="auto"/>
              </w:rPr>
            </w:pPr>
            <w:r>
              <w:rPr>
                <w:rFonts w:ascii="Calibri" w:cs="Calibri" w:eastAsia="Calibri" w:hAnsi="Calibri"/>
                <w:sz w:val="14"/>
                <w:szCs w:val="14"/>
                <w:color w:val="auto"/>
              </w:rPr>
              <w:t>Emerging growth status transiton costs</w:t>
            </w:r>
          </w:p>
        </w:tc>
        <w:tc>
          <w:tcPr>
            <w:tcW w:w="3380" w:type="dxa"/>
            <w:vAlign w:val="bottom"/>
            <w:tcBorders>
              <w:bottom w:val="single" w:sz="8" w:color="CCECFF"/>
            </w:tcBorders>
            <w:shd w:val="clear" w:color="auto" w:fill="CCECFF"/>
          </w:tcPr>
          <w:p>
            <w:pPr>
              <w:spacing w:after="0"/>
              <w:rPr>
                <w:sz w:val="15"/>
                <w:szCs w:val="15"/>
                <w:color w:val="auto"/>
              </w:rPr>
            </w:pPr>
          </w:p>
        </w:tc>
        <w:tc>
          <w:tcPr>
            <w:tcW w:w="1180" w:type="dxa"/>
            <w:vAlign w:val="bottom"/>
            <w:tcBorders>
              <w:bottom w:val="single" w:sz="8" w:color="CCECFF"/>
            </w:tcBorders>
            <w:shd w:val="clear" w:color="auto" w:fill="CCECFF"/>
          </w:tcPr>
          <w:p>
            <w:pPr>
              <w:spacing w:after="0"/>
              <w:rPr>
                <w:sz w:val="15"/>
                <w:szCs w:val="15"/>
                <w:color w:val="auto"/>
              </w:rPr>
            </w:pPr>
          </w:p>
        </w:tc>
        <w:tc>
          <w:tcPr>
            <w:tcW w:w="880" w:type="dxa"/>
            <w:vAlign w:val="bottom"/>
            <w:tcBorders>
              <w:bottom w:val="single" w:sz="8" w:color="CCECFF"/>
            </w:tcBorders>
            <w:shd w:val="clear" w:color="auto" w:fill="CCECFF"/>
          </w:tcPr>
          <w:p>
            <w:pPr>
              <w:jc w:val="right"/>
              <w:spacing w:after="0"/>
              <w:rPr>
                <w:sz w:val="20"/>
                <w:szCs w:val="20"/>
                <w:color w:val="auto"/>
              </w:rPr>
            </w:pPr>
            <w:r>
              <w:rPr>
                <w:rFonts w:ascii="Calibri" w:cs="Calibri" w:eastAsia="Calibri" w:hAnsi="Calibri"/>
                <w:sz w:val="14"/>
                <w:szCs w:val="14"/>
                <w:color w:val="auto"/>
              </w:rPr>
              <w:t>42</w:t>
            </w:r>
          </w:p>
        </w:tc>
        <w:tc>
          <w:tcPr>
            <w:tcW w:w="420" w:type="dxa"/>
            <w:vAlign w:val="bottom"/>
            <w:tcBorders>
              <w:bottom w:val="single" w:sz="8" w:color="CCECFF"/>
            </w:tcBorders>
            <w:shd w:val="clear" w:color="auto" w:fill="CCECFF"/>
          </w:tcPr>
          <w:p>
            <w:pPr>
              <w:spacing w:after="0"/>
              <w:rPr>
                <w:sz w:val="15"/>
                <w:szCs w:val="15"/>
                <w:color w:val="auto"/>
              </w:rPr>
            </w:pPr>
          </w:p>
        </w:tc>
        <w:tc>
          <w:tcPr>
            <w:tcW w:w="880" w:type="dxa"/>
            <w:vAlign w:val="bottom"/>
            <w:tcBorders>
              <w:bottom w:val="single" w:sz="8" w:color="CCECFF"/>
            </w:tcBorders>
            <w:shd w:val="clear" w:color="auto" w:fill="CCECFF"/>
          </w:tcPr>
          <w:p>
            <w:pPr>
              <w:spacing w:after="0"/>
              <w:rPr>
                <w:sz w:val="15"/>
                <w:szCs w:val="15"/>
                <w:color w:val="auto"/>
              </w:rPr>
            </w:pPr>
          </w:p>
        </w:tc>
        <w:tc>
          <w:tcPr>
            <w:tcW w:w="1640" w:type="dxa"/>
            <w:vAlign w:val="bottom"/>
            <w:tcBorders>
              <w:bottom w:val="single" w:sz="8" w:color="CCECFF"/>
            </w:tcBorders>
            <w:gridSpan w:val="2"/>
            <w:shd w:val="clear" w:color="auto" w:fill="CCECFF"/>
          </w:tcPr>
          <w:p>
            <w:pPr>
              <w:jc w:val="right"/>
              <w:ind w:right="480"/>
              <w:spacing w:after="0"/>
              <w:rPr>
                <w:sz w:val="20"/>
                <w:szCs w:val="20"/>
                <w:color w:val="auto"/>
              </w:rPr>
            </w:pPr>
            <w:r>
              <w:rPr>
                <w:rFonts w:ascii="Calibri" w:cs="Calibri" w:eastAsia="Calibri" w:hAnsi="Calibri"/>
                <w:sz w:val="14"/>
                <w:szCs w:val="14"/>
                <w:color w:val="auto"/>
              </w:rPr>
              <w:t>—</w:t>
            </w:r>
          </w:p>
        </w:tc>
      </w:tr>
      <w:tr>
        <w:trPr>
          <w:trHeight w:val="196"/>
        </w:trPr>
        <w:tc>
          <w:tcPr>
            <w:tcW w:w="2860" w:type="dxa"/>
            <w:vAlign w:val="bottom"/>
          </w:tcPr>
          <w:p>
            <w:pPr>
              <w:ind w:left="160"/>
              <w:spacing w:after="0"/>
              <w:rPr>
                <w:sz w:val="20"/>
                <w:szCs w:val="20"/>
                <w:color w:val="auto"/>
              </w:rPr>
            </w:pPr>
            <w:r>
              <w:rPr>
                <w:rFonts w:ascii="Calibri" w:cs="Calibri" w:eastAsia="Calibri" w:hAnsi="Calibri"/>
                <w:sz w:val="14"/>
                <w:szCs w:val="14"/>
                <w:color w:val="auto"/>
              </w:rPr>
              <w:t>Income tax adjustments</w:t>
            </w:r>
          </w:p>
        </w:tc>
        <w:tc>
          <w:tcPr>
            <w:tcW w:w="3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300" w:type="dxa"/>
            <w:vAlign w:val="bottom"/>
            <w:gridSpan w:val="2"/>
          </w:tcPr>
          <w:p>
            <w:pPr>
              <w:jc w:val="right"/>
              <w:ind w:right="360"/>
              <w:spacing w:after="0"/>
              <w:rPr>
                <w:sz w:val="20"/>
                <w:szCs w:val="20"/>
                <w:color w:val="auto"/>
              </w:rPr>
            </w:pPr>
            <w:r>
              <w:rPr>
                <w:rFonts w:ascii="Calibri" w:cs="Calibri" w:eastAsia="Calibri" w:hAnsi="Calibri"/>
                <w:sz w:val="14"/>
                <w:szCs w:val="14"/>
                <w:color w:val="auto"/>
              </w:rPr>
              <w:t>(201 )</w:t>
            </w:r>
          </w:p>
        </w:tc>
        <w:tc>
          <w:tcPr>
            <w:tcW w:w="8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Calibri" w:cs="Calibri" w:eastAsia="Calibri" w:hAnsi="Calibri"/>
                <w:sz w:val="14"/>
                <w:szCs w:val="14"/>
                <w:color w:val="auto"/>
              </w:rPr>
              <w:t>26</w:t>
            </w:r>
          </w:p>
        </w:tc>
        <w:tc>
          <w:tcPr>
            <w:tcW w:w="480" w:type="dxa"/>
            <w:vAlign w:val="bottom"/>
          </w:tcPr>
          <w:p>
            <w:pPr>
              <w:spacing w:after="0"/>
              <w:rPr>
                <w:sz w:val="17"/>
                <w:szCs w:val="17"/>
                <w:color w:val="auto"/>
              </w:rPr>
            </w:pPr>
          </w:p>
        </w:tc>
      </w:tr>
      <w:tr>
        <w:trPr>
          <w:trHeight w:val="243"/>
        </w:trPr>
        <w:tc>
          <w:tcPr>
            <w:tcW w:w="2860" w:type="dxa"/>
            <w:vAlign w:val="bottom"/>
            <w:tcBorders>
              <w:bottom w:val="single" w:sz="8" w:color="CCECFF"/>
            </w:tcBorders>
            <w:shd w:val="clear" w:color="auto" w:fill="CCECFF"/>
          </w:tcPr>
          <w:p>
            <w:pPr>
              <w:ind w:left="20"/>
              <w:spacing w:after="0"/>
              <w:rPr>
                <w:sz w:val="20"/>
                <w:szCs w:val="20"/>
                <w:color w:val="auto"/>
              </w:rPr>
            </w:pPr>
            <w:r>
              <w:rPr>
                <w:rFonts w:ascii="Calibri" w:cs="Calibri" w:eastAsia="Calibri" w:hAnsi="Calibri"/>
                <w:sz w:val="14"/>
                <w:szCs w:val="14"/>
                <w:color w:val="auto"/>
              </w:rPr>
              <w:t>Non-GAAP net income</w:t>
            </w:r>
          </w:p>
        </w:tc>
        <w:tc>
          <w:tcPr>
            <w:tcW w:w="3380" w:type="dxa"/>
            <w:vAlign w:val="bottom"/>
            <w:tcBorders>
              <w:bottom w:val="single" w:sz="8" w:color="CCECFF"/>
            </w:tcBorders>
            <w:shd w:val="clear" w:color="auto" w:fill="CCECFF"/>
          </w:tcPr>
          <w:p>
            <w:pPr>
              <w:spacing w:after="0"/>
              <w:rPr>
                <w:sz w:val="21"/>
                <w:szCs w:val="21"/>
                <w:color w:val="auto"/>
              </w:rPr>
            </w:pPr>
          </w:p>
        </w:tc>
        <w:tc>
          <w:tcPr>
            <w:tcW w:w="1180" w:type="dxa"/>
            <w:vAlign w:val="bottom"/>
            <w:tcBorders>
              <w:top w:val="single" w:sz="8" w:color="auto"/>
              <w:bottom w:val="single" w:sz="8" w:color="auto"/>
            </w:tcBorders>
            <w:shd w:val="clear" w:color="auto" w:fill="CCECFF"/>
          </w:tcPr>
          <w:p>
            <w:pPr>
              <w:jc w:val="right"/>
              <w:ind w:right="1028"/>
              <w:spacing w:after="0"/>
              <w:rPr>
                <w:sz w:val="20"/>
                <w:szCs w:val="20"/>
                <w:color w:val="auto"/>
              </w:rPr>
            </w:pPr>
            <w:r>
              <w:rPr>
                <w:rFonts w:ascii="Calibri" w:cs="Calibri" w:eastAsia="Calibri" w:hAnsi="Calibri"/>
                <w:sz w:val="14"/>
                <w:szCs w:val="14"/>
                <w:color w:val="auto"/>
                <w:w w:val="83"/>
              </w:rPr>
              <w:t>$</w:t>
            </w:r>
          </w:p>
        </w:tc>
        <w:tc>
          <w:tcPr>
            <w:tcW w:w="8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Calibri" w:cs="Calibri" w:eastAsia="Calibri" w:hAnsi="Calibri"/>
                <w:sz w:val="14"/>
                <w:szCs w:val="14"/>
                <w:color w:val="auto"/>
              </w:rPr>
              <w:t>748</w:t>
            </w:r>
          </w:p>
        </w:tc>
        <w:tc>
          <w:tcPr>
            <w:tcW w:w="420" w:type="dxa"/>
            <w:vAlign w:val="bottom"/>
            <w:tcBorders>
              <w:bottom w:val="single" w:sz="8" w:color="CCECFF"/>
            </w:tcBorders>
            <w:shd w:val="clear" w:color="auto" w:fill="CCECFF"/>
          </w:tcPr>
          <w:p>
            <w:pPr>
              <w:spacing w:after="0"/>
              <w:rPr>
                <w:sz w:val="21"/>
                <w:szCs w:val="21"/>
                <w:color w:val="auto"/>
              </w:rPr>
            </w:pPr>
          </w:p>
        </w:tc>
        <w:tc>
          <w:tcPr>
            <w:tcW w:w="880" w:type="dxa"/>
            <w:vAlign w:val="bottom"/>
            <w:tcBorders>
              <w:top w:val="single" w:sz="8" w:color="auto"/>
              <w:bottom w:val="single" w:sz="8" w:color="auto"/>
            </w:tcBorders>
            <w:shd w:val="clear" w:color="auto" w:fill="CCECFF"/>
          </w:tcPr>
          <w:p>
            <w:pPr>
              <w:jc w:val="right"/>
              <w:ind w:right="708"/>
              <w:spacing w:after="0"/>
              <w:rPr>
                <w:sz w:val="20"/>
                <w:szCs w:val="20"/>
                <w:color w:val="auto"/>
              </w:rPr>
            </w:pPr>
            <w:r>
              <w:rPr>
                <w:rFonts w:ascii="Calibri" w:cs="Calibri" w:eastAsia="Calibri" w:hAnsi="Calibri"/>
                <w:sz w:val="14"/>
                <w:szCs w:val="14"/>
                <w:color w:val="auto"/>
              </w:rPr>
              <w:t>$</w:t>
            </w:r>
          </w:p>
        </w:tc>
        <w:tc>
          <w:tcPr>
            <w:tcW w:w="11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Calibri" w:cs="Calibri" w:eastAsia="Calibri" w:hAnsi="Calibri"/>
                <w:sz w:val="14"/>
                <w:szCs w:val="14"/>
                <w:color w:val="auto"/>
              </w:rPr>
              <w:t>98</w:t>
            </w:r>
          </w:p>
        </w:tc>
        <w:tc>
          <w:tcPr>
            <w:tcW w:w="480" w:type="dxa"/>
            <w:vAlign w:val="bottom"/>
            <w:tcBorders>
              <w:bottom w:val="single" w:sz="8" w:color="CCECFF"/>
            </w:tcBorders>
            <w:shd w:val="clear" w:color="auto" w:fill="CCECFF"/>
          </w:tcPr>
          <w:p>
            <w:pPr>
              <w:spacing w:after="0"/>
              <w:rPr>
                <w:sz w:val="21"/>
                <w:szCs w:val="21"/>
                <w:color w:val="auto"/>
              </w:rPr>
            </w:pPr>
          </w:p>
        </w:tc>
      </w:tr>
      <w:tr>
        <w:trPr>
          <w:trHeight w:val="75"/>
        </w:trPr>
        <w:tc>
          <w:tcPr>
            <w:tcW w:w="2860" w:type="dxa"/>
            <w:vAlign w:val="bottom"/>
          </w:tcPr>
          <w:p>
            <w:pPr>
              <w:spacing w:after="0"/>
              <w:rPr>
                <w:sz w:val="6"/>
                <w:szCs w:val="6"/>
                <w:color w:val="auto"/>
              </w:rPr>
            </w:pPr>
          </w:p>
        </w:tc>
        <w:tc>
          <w:tcPr>
            <w:tcW w:w="33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880" w:type="dxa"/>
            <w:vAlign w:val="bottom"/>
          </w:tcPr>
          <w:p>
            <w:pPr>
              <w:spacing w:after="0"/>
              <w:rPr>
                <w:sz w:val="6"/>
                <w:szCs w:val="6"/>
                <w:color w:val="auto"/>
              </w:rPr>
            </w:pPr>
          </w:p>
        </w:tc>
        <w:tc>
          <w:tcPr>
            <w:tcW w:w="4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480" w:type="dxa"/>
            <w:vAlign w:val="bottom"/>
          </w:tcPr>
          <w:p>
            <w:pPr>
              <w:spacing w:after="0"/>
              <w:rPr>
                <w:sz w:val="6"/>
                <w:szCs w:val="6"/>
                <w:color w:val="auto"/>
              </w:rPr>
            </w:pPr>
          </w:p>
        </w:tc>
      </w:tr>
      <w:tr>
        <w:trPr>
          <w:trHeight w:val="183"/>
        </w:trPr>
        <w:tc>
          <w:tcPr>
            <w:tcW w:w="2860" w:type="dxa"/>
            <w:vAlign w:val="bottom"/>
            <w:tcBorders>
              <w:bottom w:val="single" w:sz="8" w:color="CCECFF"/>
            </w:tcBorders>
            <w:shd w:val="clear" w:color="auto" w:fill="CCECFF"/>
          </w:tcPr>
          <w:p>
            <w:pPr>
              <w:ind w:left="20"/>
              <w:spacing w:after="0"/>
              <w:rPr>
                <w:sz w:val="20"/>
                <w:szCs w:val="20"/>
                <w:color w:val="auto"/>
              </w:rPr>
            </w:pPr>
            <w:r>
              <w:rPr>
                <w:rFonts w:ascii="Calibri" w:cs="Calibri" w:eastAsia="Calibri" w:hAnsi="Calibri"/>
                <w:sz w:val="14"/>
                <w:szCs w:val="14"/>
                <w:color w:val="auto"/>
              </w:rPr>
              <w:t>GAAP net loss per share - diluted</w:t>
            </w:r>
          </w:p>
        </w:tc>
        <w:tc>
          <w:tcPr>
            <w:tcW w:w="4560" w:type="dxa"/>
            <w:vAlign w:val="bottom"/>
            <w:tcBorders>
              <w:bottom w:val="single" w:sz="8" w:color="CCECFF"/>
            </w:tcBorders>
            <w:gridSpan w:val="2"/>
            <w:shd w:val="clear" w:color="auto" w:fill="CCECFF"/>
          </w:tcPr>
          <w:p>
            <w:pPr>
              <w:jc w:val="right"/>
              <w:ind w:right="1028"/>
              <w:spacing w:after="0"/>
              <w:rPr>
                <w:sz w:val="20"/>
                <w:szCs w:val="20"/>
                <w:color w:val="auto"/>
              </w:rPr>
            </w:pPr>
            <w:r>
              <w:rPr>
                <w:rFonts w:ascii="Calibri" w:cs="Calibri" w:eastAsia="Calibri" w:hAnsi="Calibri"/>
                <w:sz w:val="14"/>
                <w:szCs w:val="14"/>
                <w:color w:val="auto"/>
              </w:rPr>
              <w:t>$</w:t>
            </w:r>
          </w:p>
        </w:tc>
        <w:tc>
          <w:tcPr>
            <w:tcW w:w="1300" w:type="dxa"/>
            <w:vAlign w:val="bottom"/>
            <w:tcBorders>
              <w:bottom w:val="single" w:sz="8" w:color="CCECFF"/>
            </w:tcBorders>
            <w:gridSpan w:val="2"/>
            <w:shd w:val="clear" w:color="auto" w:fill="CCECFF"/>
          </w:tcPr>
          <w:p>
            <w:pPr>
              <w:jc w:val="right"/>
              <w:ind w:right="360"/>
              <w:spacing w:after="0"/>
              <w:rPr>
                <w:sz w:val="20"/>
                <w:szCs w:val="20"/>
                <w:color w:val="auto"/>
              </w:rPr>
            </w:pPr>
            <w:r>
              <w:rPr>
                <w:rFonts w:ascii="Calibri" w:cs="Calibri" w:eastAsia="Calibri" w:hAnsi="Calibri"/>
                <w:sz w:val="14"/>
                <w:szCs w:val="14"/>
                <w:color w:val="auto"/>
              </w:rPr>
              <w:t>(0.18 )</w:t>
            </w:r>
          </w:p>
        </w:tc>
        <w:tc>
          <w:tcPr>
            <w:tcW w:w="880" w:type="dxa"/>
            <w:vAlign w:val="bottom"/>
            <w:tcBorders>
              <w:bottom w:val="single" w:sz="8" w:color="CCECFF"/>
            </w:tcBorders>
            <w:shd w:val="clear" w:color="auto" w:fill="CCECFF"/>
          </w:tcPr>
          <w:p>
            <w:pPr>
              <w:jc w:val="right"/>
              <w:ind w:right="708"/>
              <w:spacing w:after="0"/>
              <w:rPr>
                <w:sz w:val="20"/>
                <w:szCs w:val="20"/>
                <w:color w:val="auto"/>
              </w:rPr>
            </w:pPr>
            <w:r>
              <w:rPr>
                <w:rFonts w:ascii="Calibri" w:cs="Calibri" w:eastAsia="Calibri" w:hAnsi="Calibri"/>
                <w:sz w:val="14"/>
                <w:szCs w:val="14"/>
                <w:color w:val="auto"/>
              </w:rPr>
              <w:t>$</w:t>
            </w:r>
          </w:p>
        </w:tc>
        <w:tc>
          <w:tcPr>
            <w:tcW w:w="1640" w:type="dxa"/>
            <w:vAlign w:val="bottom"/>
            <w:tcBorders>
              <w:bottom w:val="single" w:sz="8" w:color="CCECFF"/>
            </w:tcBorders>
            <w:gridSpan w:val="2"/>
            <w:shd w:val="clear" w:color="auto" w:fill="CCECFF"/>
          </w:tcPr>
          <w:p>
            <w:pPr>
              <w:jc w:val="right"/>
              <w:ind w:right="420"/>
              <w:spacing w:after="0"/>
              <w:rPr>
                <w:sz w:val="20"/>
                <w:szCs w:val="20"/>
                <w:color w:val="auto"/>
              </w:rPr>
            </w:pPr>
            <w:r>
              <w:rPr>
                <w:rFonts w:ascii="Calibri" w:cs="Calibri" w:eastAsia="Calibri" w:hAnsi="Calibri"/>
                <w:sz w:val="14"/>
                <w:szCs w:val="14"/>
                <w:color w:val="auto"/>
              </w:rPr>
              <w:t>(0.31 )</w:t>
            </w:r>
          </w:p>
        </w:tc>
      </w:tr>
      <w:tr>
        <w:trPr>
          <w:trHeight w:val="170"/>
        </w:trPr>
        <w:tc>
          <w:tcPr>
            <w:tcW w:w="2860" w:type="dxa"/>
            <w:vAlign w:val="bottom"/>
          </w:tcPr>
          <w:p>
            <w:pPr>
              <w:ind w:left="160"/>
              <w:spacing w:after="0"/>
              <w:rPr>
                <w:sz w:val="20"/>
                <w:szCs w:val="20"/>
                <w:color w:val="auto"/>
              </w:rPr>
            </w:pPr>
            <w:r>
              <w:rPr>
                <w:rFonts w:ascii="Calibri" w:cs="Calibri" w:eastAsia="Calibri" w:hAnsi="Calibri"/>
                <w:sz w:val="14"/>
                <w:szCs w:val="14"/>
                <w:color w:val="auto"/>
              </w:rPr>
              <w:t>Amortzaton of acquired intangible assets</w:t>
            </w:r>
          </w:p>
        </w:tc>
        <w:tc>
          <w:tcPr>
            <w:tcW w:w="3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alibri" w:cs="Calibri" w:eastAsia="Calibri" w:hAnsi="Calibri"/>
                <w:sz w:val="14"/>
                <w:szCs w:val="14"/>
                <w:color w:val="auto"/>
              </w:rPr>
              <w:t>0.16</w:t>
            </w: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alibri" w:cs="Calibri" w:eastAsia="Calibri" w:hAnsi="Calibri"/>
                <w:sz w:val="14"/>
                <w:szCs w:val="14"/>
                <w:color w:val="auto"/>
              </w:rPr>
              <w:t>0.22</w:t>
            </w:r>
          </w:p>
        </w:tc>
        <w:tc>
          <w:tcPr>
            <w:tcW w:w="480" w:type="dxa"/>
            <w:vAlign w:val="bottom"/>
          </w:tcPr>
          <w:p>
            <w:pPr>
              <w:spacing w:after="0"/>
              <w:rPr>
                <w:sz w:val="14"/>
                <w:szCs w:val="14"/>
                <w:color w:val="auto"/>
              </w:rPr>
            </w:pPr>
          </w:p>
        </w:tc>
      </w:tr>
      <w:tr>
        <w:trPr>
          <w:trHeight w:val="33"/>
        </w:trPr>
        <w:tc>
          <w:tcPr>
            <w:tcW w:w="286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183"/>
        </w:trPr>
        <w:tc>
          <w:tcPr>
            <w:tcW w:w="2860" w:type="dxa"/>
            <w:vAlign w:val="bottom"/>
            <w:tcBorders>
              <w:bottom w:val="single" w:sz="8" w:color="CCECFF"/>
            </w:tcBorders>
            <w:shd w:val="clear" w:color="auto" w:fill="CCECFF"/>
          </w:tcPr>
          <w:p>
            <w:pPr>
              <w:ind w:left="160"/>
              <w:spacing w:after="0"/>
              <w:rPr>
                <w:sz w:val="20"/>
                <w:szCs w:val="20"/>
                <w:color w:val="auto"/>
              </w:rPr>
            </w:pPr>
            <w:r>
              <w:rPr>
                <w:rFonts w:ascii="Calibri" w:cs="Calibri" w:eastAsia="Calibri" w:hAnsi="Calibri"/>
                <w:sz w:val="14"/>
                <w:szCs w:val="14"/>
                <w:color w:val="auto"/>
              </w:rPr>
              <w:t>Stock compensaton</w:t>
            </w:r>
          </w:p>
        </w:tc>
        <w:tc>
          <w:tcPr>
            <w:tcW w:w="3380" w:type="dxa"/>
            <w:vAlign w:val="bottom"/>
            <w:tcBorders>
              <w:bottom w:val="single" w:sz="8" w:color="CCECFF"/>
            </w:tcBorders>
            <w:shd w:val="clear" w:color="auto" w:fill="CCECFF"/>
          </w:tcPr>
          <w:p>
            <w:pPr>
              <w:spacing w:after="0"/>
              <w:rPr>
                <w:sz w:val="15"/>
                <w:szCs w:val="15"/>
                <w:color w:val="auto"/>
              </w:rPr>
            </w:pPr>
          </w:p>
        </w:tc>
        <w:tc>
          <w:tcPr>
            <w:tcW w:w="1180" w:type="dxa"/>
            <w:vAlign w:val="bottom"/>
            <w:tcBorders>
              <w:bottom w:val="single" w:sz="8" w:color="CCECFF"/>
            </w:tcBorders>
            <w:shd w:val="clear" w:color="auto" w:fill="CCECFF"/>
          </w:tcPr>
          <w:p>
            <w:pPr>
              <w:spacing w:after="0"/>
              <w:rPr>
                <w:sz w:val="15"/>
                <w:szCs w:val="15"/>
                <w:color w:val="auto"/>
              </w:rPr>
            </w:pPr>
          </w:p>
        </w:tc>
        <w:tc>
          <w:tcPr>
            <w:tcW w:w="880" w:type="dxa"/>
            <w:vAlign w:val="bottom"/>
            <w:tcBorders>
              <w:bottom w:val="single" w:sz="8" w:color="CCECFF"/>
            </w:tcBorders>
            <w:shd w:val="clear" w:color="auto" w:fill="CCECFF"/>
          </w:tcPr>
          <w:p>
            <w:pPr>
              <w:jc w:val="right"/>
              <w:spacing w:after="0"/>
              <w:rPr>
                <w:sz w:val="20"/>
                <w:szCs w:val="20"/>
                <w:color w:val="auto"/>
              </w:rPr>
            </w:pPr>
            <w:r>
              <w:rPr>
                <w:rFonts w:ascii="Calibri" w:cs="Calibri" w:eastAsia="Calibri" w:hAnsi="Calibri"/>
                <w:sz w:val="14"/>
                <w:szCs w:val="14"/>
                <w:color w:val="auto"/>
              </w:rPr>
              <w:t>0.07</w:t>
            </w:r>
          </w:p>
        </w:tc>
        <w:tc>
          <w:tcPr>
            <w:tcW w:w="420" w:type="dxa"/>
            <w:vAlign w:val="bottom"/>
            <w:tcBorders>
              <w:bottom w:val="single" w:sz="8" w:color="CCECFF"/>
            </w:tcBorders>
            <w:shd w:val="clear" w:color="auto" w:fill="CCECFF"/>
          </w:tcPr>
          <w:p>
            <w:pPr>
              <w:spacing w:after="0"/>
              <w:rPr>
                <w:sz w:val="15"/>
                <w:szCs w:val="15"/>
                <w:color w:val="auto"/>
              </w:rPr>
            </w:pPr>
          </w:p>
        </w:tc>
        <w:tc>
          <w:tcPr>
            <w:tcW w:w="880" w:type="dxa"/>
            <w:vAlign w:val="bottom"/>
            <w:tcBorders>
              <w:bottom w:val="single" w:sz="8" w:color="CCECFF"/>
            </w:tcBorders>
            <w:shd w:val="clear" w:color="auto" w:fill="CCECFF"/>
          </w:tcPr>
          <w:p>
            <w:pPr>
              <w:spacing w:after="0"/>
              <w:rPr>
                <w:sz w:val="15"/>
                <w:szCs w:val="15"/>
                <w:color w:val="auto"/>
              </w:rPr>
            </w:pPr>
          </w:p>
        </w:tc>
        <w:tc>
          <w:tcPr>
            <w:tcW w:w="1160" w:type="dxa"/>
            <w:vAlign w:val="bottom"/>
            <w:tcBorders>
              <w:bottom w:val="single" w:sz="8" w:color="CCECFF"/>
            </w:tcBorders>
            <w:shd w:val="clear" w:color="auto" w:fill="CCECFF"/>
          </w:tcPr>
          <w:p>
            <w:pPr>
              <w:jc w:val="right"/>
              <w:spacing w:after="0"/>
              <w:rPr>
                <w:sz w:val="20"/>
                <w:szCs w:val="20"/>
                <w:color w:val="auto"/>
              </w:rPr>
            </w:pPr>
            <w:r>
              <w:rPr>
                <w:rFonts w:ascii="Calibri" w:cs="Calibri" w:eastAsia="Calibri" w:hAnsi="Calibri"/>
                <w:sz w:val="14"/>
                <w:szCs w:val="14"/>
                <w:color w:val="auto"/>
              </w:rPr>
              <w:t>0.07</w:t>
            </w:r>
          </w:p>
        </w:tc>
        <w:tc>
          <w:tcPr>
            <w:tcW w:w="480" w:type="dxa"/>
            <w:vAlign w:val="bottom"/>
            <w:tcBorders>
              <w:bottom w:val="single" w:sz="8" w:color="CCECFF"/>
            </w:tcBorders>
            <w:shd w:val="clear" w:color="auto" w:fill="CCECFF"/>
          </w:tcPr>
          <w:p>
            <w:pPr>
              <w:spacing w:after="0"/>
              <w:rPr>
                <w:sz w:val="15"/>
                <w:szCs w:val="15"/>
                <w:color w:val="auto"/>
              </w:rPr>
            </w:pPr>
          </w:p>
        </w:tc>
      </w:tr>
      <w:tr>
        <w:trPr>
          <w:trHeight w:val="170"/>
        </w:trPr>
        <w:tc>
          <w:tcPr>
            <w:tcW w:w="2860" w:type="dxa"/>
            <w:vAlign w:val="bottom"/>
          </w:tcPr>
          <w:p>
            <w:pPr>
              <w:ind w:left="160"/>
              <w:spacing w:after="0"/>
              <w:rPr>
                <w:sz w:val="20"/>
                <w:szCs w:val="20"/>
                <w:color w:val="auto"/>
              </w:rPr>
            </w:pPr>
            <w:r>
              <w:rPr>
                <w:rFonts w:ascii="Calibri" w:cs="Calibri" w:eastAsia="Calibri" w:hAnsi="Calibri"/>
                <w:sz w:val="14"/>
                <w:szCs w:val="14"/>
                <w:color w:val="auto"/>
              </w:rPr>
              <w:t>Non-recurring inventory reserve adjustment</w:t>
            </w:r>
          </w:p>
        </w:tc>
        <w:tc>
          <w:tcPr>
            <w:tcW w:w="3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alibri" w:cs="Calibri" w:eastAsia="Calibri" w:hAnsi="Calibri"/>
                <w:sz w:val="14"/>
                <w:szCs w:val="14"/>
                <w:color w:val="auto"/>
              </w:rPr>
              <w:t>0.02</w:t>
            </w: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40" w:type="dxa"/>
            <w:vAlign w:val="bottom"/>
            <w:gridSpan w:val="2"/>
          </w:tcPr>
          <w:p>
            <w:pPr>
              <w:jc w:val="right"/>
              <w:ind w:right="480"/>
              <w:spacing w:after="0"/>
              <w:rPr>
                <w:sz w:val="20"/>
                <w:szCs w:val="20"/>
                <w:color w:val="auto"/>
              </w:rPr>
            </w:pPr>
            <w:r>
              <w:rPr>
                <w:rFonts w:ascii="Calibri" w:cs="Calibri" w:eastAsia="Calibri" w:hAnsi="Calibri"/>
                <w:sz w:val="14"/>
                <w:szCs w:val="14"/>
                <w:color w:val="auto"/>
              </w:rPr>
              <w:t>—</w:t>
            </w:r>
          </w:p>
        </w:tc>
      </w:tr>
      <w:tr>
        <w:trPr>
          <w:trHeight w:val="33"/>
        </w:trPr>
        <w:tc>
          <w:tcPr>
            <w:tcW w:w="286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183"/>
        </w:trPr>
        <w:tc>
          <w:tcPr>
            <w:tcW w:w="2860" w:type="dxa"/>
            <w:vAlign w:val="bottom"/>
            <w:tcBorders>
              <w:bottom w:val="single" w:sz="8" w:color="CCECFF"/>
            </w:tcBorders>
            <w:shd w:val="clear" w:color="auto" w:fill="CCECFF"/>
          </w:tcPr>
          <w:p>
            <w:pPr>
              <w:ind w:left="160"/>
              <w:spacing w:after="0"/>
              <w:rPr>
                <w:sz w:val="20"/>
                <w:szCs w:val="20"/>
                <w:color w:val="auto"/>
              </w:rPr>
            </w:pPr>
            <w:r>
              <w:rPr>
                <w:rFonts w:ascii="Calibri" w:cs="Calibri" w:eastAsia="Calibri" w:hAnsi="Calibri"/>
                <w:sz w:val="14"/>
                <w:szCs w:val="14"/>
                <w:color w:val="auto"/>
              </w:rPr>
              <w:t>Technology implementaton</w:t>
            </w:r>
          </w:p>
        </w:tc>
        <w:tc>
          <w:tcPr>
            <w:tcW w:w="3380" w:type="dxa"/>
            <w:vAlign w:val="bottom"/>
            <w:tcBorders>
              <w:bottom w:val="single" w:sz="8" w:color="CCECFF"/>
            </w:tcBorders>
            <w:shd w:val="clear" w:color="auto" w:fill="CCECFF"/>
          </w:tcPr>
          <w:p>
            <w:pPr>
              <w:spacing w:after="0"/>
              <w:rPr>
                <w:sz w:val="15"/>
                <w:szCs w:val="15"/>
                <w:color w:val="auto"/>
              </w:rPr>
            </w:pPr>
          </w:p>
        </w:tc>
        <w:tc>
          <w:tcPr>
            <w:tcW w:w="1180" w:type="dxa"/>
            <w:vAlign w:val="bottom"/>
            <w:tcBorders>
              <w:bottom w:val="single" w:sz="8" w:color="CCECFF"/>
            </w:tcBorders>
            <w:shd w:val="clear" w:color="auto" w:fill="CCECFF"/>
          </w:tcPr>
          <w:p>
            <w:pPr>
              <w:spacing w:after="0"/>
              <w:rPr>
                <w:sz w:val="15"/>
                <w:szCs w:val="15"/>
                <w:color w:val="auto"/>
              </w:rPr>
            </w:pPr>
          </w:p>
        </w:tc>
        <w:tc>
          <w:tcPr>
            <w:tcW w:w="1300" w:type="dxa"/>
            <w:vAlign w:val="bottom"/>
            <w:tcBorders>
              <w:bottom w:val="single" w:sz="8" w:color="CCECFF"/>
            </w:tcBorders>
            <w:gridSpan w:val="2"/>
            <w:shd w:val="clear" w:color="auto" w:fill="CCECFF"/>
          </w:tcPr>
          <w:p>
            <w:pPr>
              <w:jc w:val="right"/>
              <w:ind w:right="440"/>
              <w:spacing w:after="0"/>
              <w:rPr>
                <w:sz w:val="20"/>
                <w:szCs w:val="20"/>
                <w:color w:val="auto"/>
              </w:rPr>
            </w:pPr>
            <w:r>
              <w:rPr>
                <w:rFonts w:ascii="Calibri" w:cs="Calibri" w:eastAsia="Calibri" w:hAnsi="Calibri"/>
                <w:sz w:val="14"/>
                <w:szCs w:val="14"/>
                <w:color w:val="auto"/>
              </w:rPr>
              <w:t>—</w:t>
            </w:r>
          </w:p>
        </w:tc>
        <w:tc>
          <w:tcPr>
            <w:tcW w:w="880" w:type="dxa"/>
            <w:vAlign w:val="bottom"/>
            <w:tcBorders>
              <w:bottom w:val="single" w:sz="8" w:color="CCECFF"/>
            </w:tcBorders>
            <w:shd w:val="clear" w:color="auto" w:fill="CCECFF"/>
          </w:tcPr>
          <w:p>
            <w:pPr>
              <w:spacing w:after="0"/>
              <w:rPr>
                <w:sz w:val="15"/>
                <w:szCs w:val="15"/>
                <w:color w:val="auto"/>
              </w:rPr>
            </w:pPr>
          </w:p>
        </w:tc>
        <w:tc>
          <w:tcPr>
            <w:tcW w:w="1160" w:type="dxa"/>
            <w:vAlign w:val="bottom"/>
            <w:tcBorders>
              <w:bottom w:val="single" w:sz="8" w:color="CCECFF"/>
            </w:tcBorders>
            <w:shd w:val="clear" w:color="auto" w:fill="CCECFF"/>
          </w:tcPr>
          <w:p>
            <w:pPr>
              <w:jc w:val="right"/>
              <w:spacing w:after="0"/>
              <w:rPr>
                <w:sz w:val="20"/>
                <w:szCs w:val="20"/>
                <w:color w:val="auto"/>
              </w:rPr>
            </w:pPr>
            <w:r>
              <w:rPr>
                <w:rFonts w:ascii="Calibri" w:cs="Calibri" w:eastAsia="Calibri" w:hAnsi="Calibri"/>
                <w:sz w:val="14"/>
                <w:szCs w:val="14"/>
                <w:color w:val="auto"/>
              </w:rPr>
              <w:t>0.02</w:t>
            </w:r>
          </w:p>
        </w:tc>
        <w:tc>
          <w:tcPr>
            <w:tcW w:w="480" w:type="dxa"/>
            <w:vAlign w:val="bottom"/>
            <w:tcBorders>
              <w:bottom w:val="single" w:sz="8" w:color="CCECFF"/>
            </w:tcBorders>
            <w:shd w:val="clear" w:color="auto" w:fill="CCECFF"/>
          </w:tcPr>
          <w:p>
            <w:pPr>
              <w:spacing w:after="0"/>
              <w:rPr>
                <w:sz w:val="15"/>
                <w:szCs w:val="15"/>
                <w:color w:val="auto"/>
              </w:rPr>
            </w:pPr>
          </w:p>
        </w:tc>
      </w:tr>
      <w:tr>
        <w:trPr>
          <w:trHeight w:val="170"/>
        </w:trPr>
        <w:tc>
          <w:tcPr>
            <w:tcW w:w="2860" w:type="dxa"/>
            <w:vAlign w:val="bottom"/>
          </w:tcPr>
          <w:p>
            <w:pPr>
              <w:ind w:left="160"/>
              <w:spacing w:after="0"/>
              <w:rPr>
                <w:sz w:val="20"/>
                <w:szCs w:val="20"/>
                <w:color w:val="auto"/>
              </w:rPr>
            </w:pPr>
            <w:r>
              <w:rPr>
                <w:rFonts w:ascii="Calibri" w:cs="Calibri" w:eastAsia="Calibri" w:hAnsi="Calibri"/>
                <w:sz w:val="14"/>
                <w:szCs w:val="14"/>
                <w:color w:val="auto"/>
              </w:rPr>
              <w:t>Emerging growth status transiton costs</w:t>
            </w:r>
          </w:p>
        </w:tc>
        <w:tc>
          <w:tcPr>
            <w:tcW w:w="3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00" w:type="dxa"/>
            <w:vAlign w:val="bottom"/>
            <w:gridSpan w:val="2"/>
          </w:tcPr>
          <w:p>
            <w:pPr>
              <w:jc w:val="right"/>
              <w:ind w:right="440"/>
              <w:spacing w:after="0"/>
              <w:rPr>
                <w:sz w:val="20"/>
                <w:szCs w:val="20"/>
                <w:color w:val="auto"/>
              </w:rPr>
            </w:pPr>
            <w:r>
              <w:rPr>
                <w:rFonts w:ascii="Calibri" w:cs="Calibri" w:eastAsia="Calibri" w:hAnsi="Calibri"/>
                <w:sz w:val="14"/>
                <w:szCs w:val="14"/>
                <w:color w:val="auto"/>
              </w:rPr>
              <w:t>—</w:t>
            </w:r>
          </w:p>
        </w:tc>
        <w:tc>
          <w:tcPr>
            <w:tcW w:w="880" w:type="dxa"/>
            <w:vAlign w:val="bottom"/>
          </w:tcPr>
          <w:p>
            <w:pPr>
              <w:spacing w:after="0"/>
              <w:rPr>
                <w:sz w:val="14"/>
                <w:szCs w:val="14"/>
                <w:color w:val="auto"/>
              </w:rPr>
            </w:pPr>
          </w:p>
        </w:tc>
        <w:tc>
          <w:tcPr>
            <w:tcW w:w="1640" w:type="dxa"/>
            <w:vAlign w:val="bottom"/>
            <w:gridSpan w:val="2"/>
          </w:tcPr>
          <w:p>
            <w:pPr>
              <w:jc w:val="right"/>
              <w:ind w:right="480"/>
              <w:spacing w:after="0"/>
              <w:rPr>
                <w:sz w:val="20"/>
                <w:szCs w:val="20"/>
                <w:color w:val="auto"/>
              </w:rPr>
            </w:pPr>
            <w:r>
              <w:rPr>
                <w:rFonts w:ascii="Calibri" w:cs="Calibri" w:eastAsia="Calibri" w:hAnsi="Calibri"/>
                <w:sz w:val="14"/>
                <w:szCs w:val="14"/>
                <w:color w:val="auto"/>
              </w:rPr>
              <w:t>—</w:t>
            </w:r>
          </w:p>
        </w:tc>
      </w:tr>
      <w:tr>
        <w:trPr>
          <w:trHeight w:val="33"/>
        </w:trPr>
        <w:tc>
          <w:tcPr>
            <w:tcW w:w="286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196"/>
        </w:trPr>
        <w:tc>
          <w:tcPr>
            <w:tcW w:w="2860" w:type="dxa"/>
            <w:vAlign w:val="bottom"/>
            <w:shd w:val="clear" w:color="auto" w:fill="CCECFF"/>
          </w:tcPr>
          <w:p>
            <w:pPr>
              <w:ind w:left="160"/>
              <w:spacing w:after="0"/>
              <w:rPr>
                <w:sz w:val="20"/>
                <w:szCs w:val="20"/>
                <w:color w:val="auto"/>
              </w:rPr>
            </w:pPr>
            <w:r>
              <w:rPr>
                <w:rFonts w:ascii="Calibri" w:cs="Calibri" w:eastAsia="Calibri" w:hAnsi="Calibri"/>
                <w:sz w:val="14"/>
                <w:szCs w:val="14"/>
                <w:color w:val="auto"/>
              </w:rPr>
              <w:t>Income tax adjustments</w:t>
            </w:r>
          </w:p>
        </w:tc>
        <w:tc>
          <w:tcPr>
            <w:tcW w:w="3380" w:type="dxa"/>
            <w:vAlign w:val="bottom"/>
            <w:shd w:val="clear" w:color="auto" w:fill="CCECFF"/>
          </w:tcPr>
          <w:p>
            <w:pPr>
              <w:spacing w:after="0"/>
              <w:rPr>
                <w:sz w:val="17"/>
                <w:szCs w:val="17"/>
                <w:color w:val="auto"/>
              </w:rPr>
            </w:pPr>
          </w:p>
        </w:tc>
        <w:tc>
          <w:tcPr>
            <w:tcW w:w="1180" w:type="dxa"/>
            <w:vAlign w:val="bottom"/>
            <w:shd w:val="clear" w:color="auto" w:fill="CCECFF"/>
          </w:tcPr>
          <w:p>
            <w:pPr>
              <w:spacing w:after="0"/>
              <w:rPr>
                <w:sz w:val="17"/>
                <w:szCs w:val="17"/>
                <w:color w:val="auto"/>
              </w:rPr>
            </w:pPr>
          </w:p>
        </w:tc>
        <w:tc>
          <w:tcPr>
            <w:tcW w:w="1300" w:type="dxa"/>
            <w:vAlign w:val="bottom"/>
            <w:gridSpan w:val="2"/>
            <w:shd w:val="clear" w:color="auto" w:fill="CCECFF"/>
          </w:tcPr>
          <w:p>
            <w:pPr>
              <w:jc w:val="right"/>
              <w:ind w:right="360"/>
              <w:spacing w:after="0"/>
              <w:rPr>
                <w:sz w:val="20"/>
                <w:szCs w:val="20"/>
                <w:color w:val="auto"/>
              </w:rPr>
            </w:pPr>
            <w:r>
              <w:rPr>
                <w:rFonts w:ascii="Calibri" w:cs="Calibri" w:eastAsia="Calibri" w:hAnsi="Calibri"/>
                <w:sz w:val="14"/>
                <w:szCs w:val="14"/>
                <w:color w:val="auto"/>
              </w:rPr>
              <w:t>(0.02 )</w:t>
            </w:r>
          </w:p>
        </w:tc>
        <w:tc>
          <w:tcPr>
            <w:tcW w:w="880" w:type="dxa"/>
            <w:vAlign w:val="bottom"/>
            <w:shd w:val="clear" w:color="auto" w:fill="CCECFF"/>
          </w:tcPr>
          <w:p>
            <w:pPr>
              <w:spacing w:after="0"/>
              <w:rPr>
                <w:sz w:val="17"/>
                <w:szCs w:val="17"/>
                <w:color w:val="auto"/>
              </w:rPr>
            </w:pPr>
          </w:p>
        </w:tc>
        <w:tc>
          <w:tcPr>
            <w:tcW w:w="1640" w:type="dxa"/>
            <w:vAlign w:val="bottom"/>
            <w:gridSpan w:val="2"/>
            <w:shd w:val="clear" w:color="auto" w:fill="CCECFF"/>
          </w:tcPr>
          <w:p>
            <w:pPr>
              <w:jc w:val="right"/>
              <w:ind w:right="480"/>
              <w:spacing w:after="0"/>
              <w:rPr>
                <w:sz w:val="20"/>
                <w:szCs w:val="20"/>
                <w:color w:val="auto"/>
              </w:rPr>
            </w:pPr>
            <w:r>
              <w:rPr>
                <w:rFonts w:ascii="Calibri" w:cs="Calibri" w:eastAsia="Calibri" w:hAnsi="Calibri"/>
                <w:sz w:val="14"/>
                <w:szCs w:val="14"/>
                <w:color w:val="auto"/>
              </w:rPr>
              <w:t>—</w:t>
            </w:r>
          </w:p>
        </w:tc>
      </w:tr>
      <w:tr>
        <w:trPr>
          <w:trHeight w:val="203"/>
        </w:trPr>
        <w:tc>
          <w:tcPr>
            <w:tcW w:w="2860" w:type="dxa"/>
            <w:vAlign w:val="bottom"/>
            <w:tcBorders>
              <w:top w:val="single" w:sz="8" w:color="CCECFF"/>
            </w:tcBorders>
          </w:tcPr>
          <w:p>
            <w:pPr>
              <w:ind w:left="20"/>
              <w:spacing w:after="0"/>
              <w:rPr>
                <w:sz w:val="20"/>
                <w:szCs w:val="20"/>
                <w:color w:val="auto"/>
              </w:rPr>
            </w:pPr>
            <w:r>
              <w:rPr>
                <w:rFonts w:ascii="Calibri" w:cs="Calibri" w:eastAsia="Calibri" w:hAnsi="Calibri"/>
                <w:sz w:val="14"/>
                <w:szCs w:val="14"/>
                <w:color w:val="auto"/>
              </w:rPr>
              <w:t>Non-GAAP net income per share - diluted (a)</w:t>
            </w:r>
          </w:p>
        </w:tc>
        <w:tc>
          <w:tcPr>
            <w:tcW w:w="3380" w:type="dxa"/>
            <w:vAlign w:val="bottom"/>
            <w:tcBorders>
              <w:top w:val="single" w:sz="8" w:color="CCECFF"/>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1028"/>
              <w:spacing w:after="0"/>
              <w:rPr>
                <w:sz w:val="20"/>
                <w:szCs w:val="20"/>
                <w:color w:val="auto"/>
              </w:rPr>
            </w:pPr>
            <w:r>
              <w:rPr>
                <w:rFonts w:ascii="Calibri" w:cs="Calibri" w:eastAsia="Calibri" w:hAnsi="Calibri"/>
                <w:sz w:val="14"/>
                <w:szCs w:val="14"/>
                <w:color w:val="auto"/>
                <w:w w:val="83"/>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Calibri" w:cs="Calibri" w:eastAsia="Calibri" w:hAnsi="Calibri"/>
                <w:sz w:val="14"/>
                <w:szCs w:val="14"/>
                <w:color w:val="auto"/>
              </w:rPr>
              <w:t>0.06</w:t>
            </w:r>
          </w:p>
        </w:tc>
        <w:tc>
          <w:tcPr>
            <w:tcW w:w="420" w:type="dxa"/>
            <w:vAlign w:val="bottom"/>
            <w:tcBorders>
              <w:top w:val="single" w:sz="8" w:color="CCECFF"/>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708"/>
              <w:spacing w:after="0"/>
              <w:rPr>
                <w:sz w:val="20"/>
                <w:szCs w:val="20"/>
                <w:color w:val="auto"/>
              </w:rPr>
            </w:pPr>
            <w:r>
              <w:rPr>
                <w:rFonts w:ascii="Calibri" w:cs="Calibri" w:eastAsia="Calibri" w:hAnsi="Calibri"/>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Calibri" w:cs="Calibri" w:eastAsia="Calibri" w:hAnsi="Calibri"/>
                <w:sz w:val="14"/>
                <w:szCs w:val="14"/>
                <w:color w:val="auto"/>
              </w:rPr>
              <w:t>0.01</w:t>
            </w:r>
          </w:p>
        </w:tc>
        <w:tc>
          <w:tcPr>
            <w:tcW w:w="480" w:type="dxa"/>
            <w:vAlign w:val="bottom"/>
            <w:tcBorders>
              <w:top w:val="single" w:sz="8" w:color="CCECFF"/>
            </w:tcBorders>
          </w:tcPr>
          <w:p>
            <w:pPr>
              <w:spacing w:after="0"/>
              <w:rPr>
                <w:sz w:val="17"/>
                <w:szCs w:val="17"/>
                <w:color w:val="auto"/>
              </w:rPr>
            </w:pPr>
          </w:p>
        </w:tc>
      </w:tr>
      <w:tr>
        <w:trPr>
          <w:trHeight w:val="20"/>
        </w:trPr>
        <w:tc>
          <w:tcPr>
            <w:tcW w:w="28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83"/>
        </w:trPr>
        <w:tc>
          <w:tcPr>
            <w:tcW w:w="2860" w:type="dxa"/>
            <w:vAlign w:val="bottom"/>
            <w:shd w:val="clear" w:color="auto" w:fill="CCECFF"/>
          </w:tcPr>
          <w:p>
            <w:pPr>
              <w:spacing w:after="0"/>
              <w:rPr>
                <w:sz w:val="15"/>
                <w:szCs w:val="15"/>
                <w:color w:val="auto"/>
              </w:rPr>
            </w:pPr>
          </w:p>
        </w:tc>
        <w:tc>
          <w:tcPr>
            <w:tcW w:w="3380" w:type="dxa"/>
            <w:vAlign w:val="bottom"/>
            <w:shd w:val="clear" w:color="auto" w:fill="CCECFF"/>
          </w:tcPr>
          <w:p>
            <w:pPr>
              <w:spacing w:after="0"/>
              <w:rPr>
                <w:sz w:val="15"/>
                <w:szCs w:val="15"/>
                <w:color w:val="auto"/>
              </w:rPr>
            </w:pPr>
          </w:p>
        </w:tc>
        <w:tc>
          <w:tcPr>
            <w:tcW w:w="1180" w:type="dxa"/>
            <w:vAlign w:val="bottom"/>
            <w:shd w:val="clear" w:color="auto" w:fill="CCECFF"/>
          </w:tcPr>
          <w:p>
            <w:pPr>
              <w:spacing w:after="0"/>
              <w:rPr>
                <w:sz w:val="15"/>
                <w:szCs w:val="15"/>
                <w:color w:val="auto"/>
              </w:rPr>
            </w:pPr>
          </w:p>
        </w:tc>
        <w:tc>
          <w:tcPr>
            <w:tcW w:w="880" w:type="dxa"/>
            <w:vAlign w:val="bottom"/>
            <w:shd w:val="clear" w:color="auto" w:fill="CCECFF"/>
          </w:tcPr>
          <w:p>
            <w:pPr>
              <w:spacing w:after="0"/>
              <w:rPr>
                <w:sz w:val="15"/>
                <w:szCs w:val="15"/>
                <w:color w:val="auto"/>
              </w:rPr>
            </w:pPr>
          </w:p>
        </w:tc>
        <w:tc>
          <w:tcPr>
            <w:tcW w:w="420" w:type="dxa"/>
            <w:vAlign w:val="bottom"/>
            <w:shd w:val="clear" w:color="auto" w:fill="CCECFF"/>
          </w:tcPr>
          <w:p>
            <w:pPr>
              <w:spacing w:after="0"/>
              <w:rPr>
                <w:sz w:val="15"/>
                <w:szCs w:val="15"/>
                <w:color w:val="auto"/>
              </w:rPr>
            </w:pPr>
          </w:p>
        </w:tc>
        <w:tc>
          <w:tcPr>
            <w:tcW w:w="880" w:type="dxa"/>
            <w:vAlign w:val="bottom"/>
            <w:shd w:val="clear" w:color="auto" w:fill="CCECFF"/>
          </w:tcPr>
          <w:p>
            <w:pPr>
              <w:spacing w:after="0"/>
              <w:rPr>
                <w:sz w:val="15"/>
                <w:szCs w:val="15"/>
                <w:color w:val="auto"/>
              </w:rPr>
            </w:pPr>
          </w:p>
        </w:tc>
        <w:tc>
          <w:tcPr>
            <w:tcW w:w="1160" w:type="dxa"/>
            <w:vAlign w:val="bottom"/>
            <w:shd w:val="clear" w:color="auto" w:fill="CCECFF"/>
          </w:tcPr>
          <w:p>
            <w:pPr>
              <w:spacing w:after="0"/>
              <w:rPr>
                <w:sz w:val="15"/>
                <w:szCs w:val="15"/>
                <w:color w:val="auto"/>
              </w:rPr>
            </w:pPr>
          </w:p>
        </w:tc>
        <w:tc>
          <w:tcPr>
            <w:tcW w:w="480" w:type="dxa"/>
            <w:vAlign w:val="bottom"/>
            <w:shd w:val="clear" w:color="auto" w:fill="CCECFF"/>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5268595</wp:posOffset>
            </wp:positionH>
            <wp:positionV relativeFrom="paragraph">
              <wp:posOffset>-4259580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-4242435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-4396740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6837045</wp:posOffset>
            </wp:positionH>
            <wp:positionV relativeFrom="paragraph">
              <wp:posOffset>-4259580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6837045</wp:posOffset>
            </wp:positionH>
            <wp:positionV relativeFrom="paragraph">
              <wp:posOffset>-4242435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6837045</wp:posOffset>
            </wp:positionH>
            <wp:positionV relativeFrom="paragraph">
              <wp:posOffset>-4396740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-3531235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6837045</wp:posOffset>
            </wp:positionH>
            <wp:positionV relativeFrom="paragraph">
              <wp:posOffset>-3531235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-2536825</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6837045</wp:posOffset>
            </wp:positionH>
            <wp:positionV relativeFrom="paragraph">
              <wp:posOffset>-2536825</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-1276350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-1259205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6837045</wp:posOffset>
            </wp:positionH>
            <wp:positionV relativeFrom="paragraph">
              <wp:posOffset>-1276350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6837045</wp:posOffset>
            </wp:positionH>
            <wp:positionV relativeFrom="paragraph">
              <wp:posOffset>-1259205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-290830</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6837045</wp:posOffset>
            </wp:positionH>
            <wp:positionV relativeFrom="paragraph">
              <wp:posOffset>-290830</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ind w:left="20"/>
        <w:spacing w:after="0" w:line="237" w:lineRule="auto"/>
        <w:rPr>
          <w:sz w:val="20"/>
          <w:szCs w:val="20"/>
          <w:color w:val="auto"/>
        </w:rPr>
      </w:pPr>
      <w:r>
        <w:rPr>
          <w:rFonts w:ascii="Calibri" w:cs="Calibri" w:eastAsia="Calibri" w:hAnsi="Calibri"/>
          <w:sz w:val="14"/>
          <w:szCs w:val="14"/>
          <w:color w:val="auto"/>
        </w:rPr>
        <w:t>(a) Non-GAAP net income per share does not foot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925830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11" w:name="page12"/>
    <w:bookmarkEnd w:id="11"/>
    <w:p>
      <w:pPr>
        <w:jc w:val="right"/>
        <w:ind w:right="20"/>
        <w:spacing w:after="0"/>
        <w:rPr>
          <w:sz w:val="20"/>
          <w:szCs w:val="20"/>
          <w:color w:val="auto"/>
        </w:rPr>
      </w:pPr>
      <w:r>
        <w:rPr>
          <w:rFonts w:ascii="Calibri" w:cs="Calibri" w:eastAsia="Calibri" w:hAnsi="Calibri"/>
          <w:sz w:val="20"/>
          <w:szCs w:val="20"/>
          <w:color w:val="auto"/>
        </w:rPr>
        <w:t>1800 N Route 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-132715</wp:posOffset>
            </wp:positionV>
            <wp:extent cx="3145790" cy="5143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145790" cy="514350"/>
                    </a:xfrm>
                    <a:prstGeom prst="rect">
                      <a:avLst/>
                    </a:prstGeom>
                    <a:noFill/>
                  </pic:spPr>
                </pic:pic>
              </a:graphicData>
            </a:graphic>
          </wp:anchor>
        </w:drawing>
      </w:r>
    </w:p>
    <w:p>
      <w:pPr>
        <w:jc w:val="right"/>
        <w:ind w:right="20"/>
        <w:spacing w:after="0"/>
        <w:rPr>
          <w:sz w:val="20"/>
          <w:szCs w:val="20"/>
          <w:color w:val="auto"/>
        </w:rPr>
      </w:pPr>
      <w:r>
        <w:rPr>
          <w:rFonts w:ascii="Calibri" w:cs="Calibri" w:eastAsia="Calibri" w:hAnsi="Calibri"/>
          <w:sz w:val="20"/>
          <w:szCs w:val="20"/>
          <w:color w:val="auto"/>
        </w:rPr>
        <w:t>Columbia, MO 65202</w:t>
      </w:r>
    </w:p>
    <w:p>
      <w:pPr>
        <w:spacing w:after="0" w:line="12" w:lineRule="exact"/>
        <w:rPr>
          <w:sz w:val="20"/>
          <w:szCs w:val="20"/>
          <w:color w:val="auto"/>
        </w:rPr>
      </w:pPr>
    </w:p>
    <w:p>
      <w:pPr>
        <w:jc w:val="right"/>
        <w:ind w:right="20"/>
        <w:spacing w:after="0"/>
        <w:rPr>
          <w:sz w:val="20"/>
          <w:szCs w:val="20"/>
          <w:color w:val="auto"/>
        </w:rPr>
      </w:pPr>
      <w:r>
        <w:rPr>
          <w:rFonts w:ascii="Calibri" w:cs="Calibri" w:eastAsia="Calibri" w:hAnsi="Calibri"/>
          <w:sz w:val="20"/>
          <w:szCs w:val="20"/>
          <w:color w:val="auto"/>
        </w:rPr>
        <w:t>(800) 338-9585</w:t>
      </w:r>
    </w:p>
    <w:p>
      <w:pPr>
        <w:spacing w:after="0" w:line="12" w:lineRule="exact"/>
        <w:rPr>
          <w:sz w:val="20"/>
          <w:szCs w:val="20"/>
          <w:color w:val="auto"/>
        </w:rPr>
      </w:pPr>
    </w:p>
    <w:p>
      <w:pPr>
        <w:jc w:val="right"/>
        <w:ind w:right="20"/>
        <w:spacing w:after="0"/>
        <w:rPr>
          <w:sz w:val="20"/>
          <w:szCs w:val="20"/>
          <w:color w:val="auto"/>
        </w:rPr>
      </w:pPr>
      <w:r>
        <w:rPr>
          <w:rFonts w:ascii="Calibri" w:cs="Calibri" w:eastAsia="Calibri" w:hAnsi="Calibri"/>
          <w:sz w:val="20"/>
          <w:szCs w:val="20"/>
          <w:color w:val="auto"/>
        </w:rPr>
        <w:t>NASDAQ: AOUT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b w:val="1"/>
          <w:bCs w:val="1"/>
          <w:color w:val="auto"/>
        </w:rPr>
        <w:t>AMERICAN OUTDOOR BRANDS, INC. AND SUBSIDIARIES</w:t>
      </w:r>
    </w:p>
    <w:p>
      <w:pPr>
        <w:spacing w:after="0" w:line="23" w:lineRule="exact"/>
        <w:rPr>
          <w:sz w:val="20"/>
          <w:szCs w:val="20"/>
          <w:color w:val="auto"/>
        </w:rPr>
      </w:pPr>
    </w:p>
    <w:p>
      <w:pPr>
        <w:jc w:val="center"/>
        <w:ind w:right="20"/>
        <w:spacing w:after="0"/>
        <w:rPr>
          <w:sz w:val="20"/>
          <w:szCs w:val="20"/>
          <w:color w:val="auto"/>
        </w:rPr>
      </w:pPr>
      <w:r>
        <w:rPr>
          <w:rFonts w:ascii="Calibri" w:cs="Calibri" w:eastAsia="Calibri" w:hAnsi="Calibri"/>
          <w:sz w:val="18"/>
          <w:szCs w:val="18"/>
          <w:b w:val="1"/>
          <w:bCs w:val="1"/>
          <w:color w:val="auto"/>
        </w:rPr>
        <w:t>RECONCILIATION OF GAAP NET LOSS TO NON-GAAP ADJUSTED EBITDAS</w:t>
      </w:r>
    </w:p>
    <w:p>
      <w:pPr>
        <w:jc w:val="center"/>
        <w:spacing w:after="0" w:line="235" w:lineRule="auto"/>
        <w:rPr>
          <w:sz w:val="20"/>
          <w:szCs w:val="20"/>
          <w:color w:val="auto"/>
        </w:rPr>
      </w:pPr>
      <w:r>
        <w:rPr>
          <w:rFonts w:ascii="Calibri" w:cs="Calibri" w:eastAsia="Calibri" w:hAnsi="Calibri"/>
          <w:sz w:val="18"/>
          <w:szCs w:val="18"/>
          <w:b w:val="1"/>
          <w:bCs w:val="1"/>
          <w:color w:val="auto"/>
        </w:rPr>
        <w:t>(In thousands)</w:t>
      </w:r>
    </w:p>
    <w:p>
      <w:pPr>
        <w:jc w:val="center"/>
        <w:spacing w:after="0" w:line="236" w:lineRule="auto"/>
        <w:rPr>
          <w:sz w:val="20"/>
          <w:szCs w:val="20"/>
          <w:color w:val="auto"/>
        </w:rPr>
      </w:pPr>
      <w:r>
        <w:rPr>
          <w:rFonts w:ascii="Calibri" w:cs="Calibri" w:eastAsia="Calibri" w:hAnsi="Calibri"/>
          <w:sz w:val="18"/>
          <w:szCs w:val="18"/>
          <w:b w:val="1"/>
          <w:bCs w:val="1"/>
          <w:color w:val="auto"/>
        </w:rPr>
        <w:t>(Unaudited)</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340" w:type="dxa"/>
            <w:vAlign w:val="bottom"/>
            <w:gridSpan w:val="3"/>
          </w:tcPr>
          <w:p>
            <w:pPr>
              <w:jc w:val="right"/>
              <w:ind w:right="30"/>
              <w:spacing w:after="0"/>
              <w:rPr>
                <w:sz w:val="20"/>
                <w:szCs w:val="20"/>
                <w:color w:val="auto"/>
              </w:rPr>
            </w:pPr>
            <w:r>
              <w:rPr>
                <w:rFonts w:ascii="Calibri" w:cs="Calibri" w:eastAsia="Calibri" w:hAnsi="Calibri"/>
                <w:sz w:val="14"/>
                <w:szCs w:val="14"/>
                <w:b w:val="1"/>
                <w:bCs w:val="1"/>
                <w:color w:val="auto"/>
              </w:rPr>
              <w:t>For the Three Months Ended July 31,</w:t>
            </w:r>
          </w:p>
        </w:tc>
        <w:tc>
          <w:tcPr>
            <w:tcW w:w="150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33"/>
        </w:trPr>
        <w:tc>
          <w:tcPr>
            <w:tcW w:w="546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163"/>
        </w:trPr>
        <w:tc>
          <w:tcPr>
            <w:tcW w:w="5460" w:type="dxa"/>
            <w:vAlign w:val="bottom"/>
          </w:tcPr>
          <w:p>
            <w:pPr>
              <w:spacing w:after="0"/>
              <w:rPr>
                <w:sz w:val="14"/>
                <w:szCs w:val="14"/>
                <w:color w:val="auto"/>
              </w:rPr>
            </w:pPr>
          </w:p>
        </w:tc>
        <w:tc>
          <w:tcPr>
            <w:tcW w:w="158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rPr>
              <w:t>2024</w:t>
            </w: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00" w:type="dxa"/>
            <w:vAlign w:val="bottom"/>
          </w:tcPr>
          <w:p>
            <w:pPr>
              <w:jc w:val="right"/>
              <w:ind w:right="1012"/>
              <w:spacing w:after="0" w:line="164" w:lineRule="exact"/>
              <w:rPr>
                <w:sz w:val="20"/>
                <w:szCs w:val="20"/>
                <w:color w:val="auto"/>
              </w:rPr>
            </w:pPr>
            <w:r>
              <w:rPr>
                <w:rFonts w:ascii="Calibri" w:cs="Calibri" w:eastAsia="Calibri" w:hAnsi="Calibri"/>
                <w:sz w:val="14"/>
                <w:szCs w:val="14"/>
                <w:b w:val="1"/>
                <w:bCs w:val="1"/>
                <w:color w:val="auto"/>
              </w:rPr>
              <w:t>2023</w:t>
            </w:r>
          </w:p>
        </w:tc>
        <w:tc>
          <w:tcPr>
            <w:tcW w:w="360" w:type="dxa"/>
            <w:vAlign w:val="bottom"/>
          </w:tcPr>
          <w:p>
            <w:pPr>
              <w:spacing w:after="0"/>
              <w:rPr>
                <w:sz w:val="14"/>
                <w:szCs w:val="14"/>
                <w:color w:val="auto"/>
              </w:rPr>
            </w:pPr>
          </w:p>
        </w:tc>
      </w:tr>
      <w:tr>
        <w:trPr>
          <w:trHeight w:val="33"/>
        </w:trPr>
        <w:tc>
          <w:tcPr>
            <w:tcW w:w="546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17"/>
        </w:trPr>
        <w:tc>
          <w:tcPr>
            <w:tcW w:w="5460" w:type="dxa"/>
            <w:vAlign w:val="bottom"/>
            <w:tcBorders>
              <w:bottom w:val="single" w:sz="8" w:color="CCECFF"/>
            </w:tcBorders>
            <w:shd w:val="clear" w:color="auto" w:fill="CCECFF"/>
          </w:tcPr>
          <w:p>
            <w:pPr>
              <w:ind w:left="120"/>
              <w:spacing w:after="0" w:line="208" w:lineRule="exact"/>
              <w:rPr>
                <w:sz w:val="20"/>
                <w:szCs w:val="20"/>
                <w:color w:val="auto"/>
              </w:rPr>
            </w:pPr>
            <w:r>
              <w:rPr>
                <w:rFonts w:ascii="Calibri" w:cs="Calibri" w:eastAsia="Calibri" w:hAnsi="Calibri"/>
                <w:sz w:val="18"/>
                <w:szCs w:val="18"/>
                <w:color w:val="auto"/>
              </w:rPr>
              <w:t>GAAP net loss</w:t>
            </w:r>
          </w:p>
        </w:tc>
        <w:tc>
          <w:tcPr>
            <w:tcW w:w="1580" w:type="dxa"/>
            <w:vAlign w:val="bottom"/>
            <w:tcBorders>
              <w:bottom w:val="single" w:sz="8" w:color="CCECFF"/>
            </w:tcBorders>
            <w:shd w:val="clear" w:color="auto" w:fill="CCECFF"/>
          </w:tcPr>
          <w:p>
            <w:pPr>
              <w:jc w:val="right"/>
              <w:ind w:right="1396"/>
              <w:spacing w:after="0" w:line="208" w:lineRule="exact"/>
              <w:rPr>
                <w:sz w:val="20"/>
                <w:szCs w:val="20"/>
                <w:color w:val="auto"/>
              </w:rPr>
            </w:pPr>
            <w:r>
              <w:rPr>
                <w:rFonts w:ascii="Calibri" w:cs="Calibri" w:eastAsia="Calibri" w:hAnsi="Calibri"/>
                <w:sz w:val="18"/>
                <w:szCs w:val="18"/>
                <w:color w:val="auto"/>
                <w:w w:val="87"/>
              </w:rPr>
              <w:t>$</w:t>
            </w:r>
          </w:p>
        </w:tc>
        <w:tc>
          <w:tcPr>
            <w:tcW w:w="1320" w:type="dxa"/>
            <w:vAlign w:val="bottom"/>
            <w:tcBorders>
              <w:bottom w:val="single" w:sz="8" w:color="CCECFF"/>
            </w:tcBorders>
            <w:gridSpan w:val="2"/>
            <w:shd w:val="clear" w:color="auto" w:fill="CCECFF"/>
          </w:tcPr>
          <w:p>
            <w:pPr>
              <w:jc w:val="right"/>
              <w:ind w:right="260"/>
              <w:spacing w:after="0" w:line="208" w:lineRule="exact"/>
              <w:rPr>
                <w:sz w:val="20"/>
                <w:szCs w:val="20"/>
                <w:color w:val="auto"/>
              </w:rPr>
            </w:pPr>
            <w:r>
              <w:rPr>
                <w:rFonts w:ascii="Calibri" w:cs="Calibri" w:eastAsia="Calibri" w:hAnsi="Calibri"/>
                <w:sz w:val="18"/>
                <w:szCs w:val="18"/>
                <w:color w:val="auto"/>
              </w:rPr>
              <w:t>(2,365 )</w:t>
            </w:r>
          </w:p>
        </w:tc>
        <w:tc>
          <w:tcPr>
            <w:tcW w:w="1020" w:type="dxa"/>
            <w:vAlign w:val="bottom"/>
            <w:tcBorders>
              <w:bottom w:val="single" w:sz="8" w:color="CCECFF"/>
            </w:tcBorders>
            <w:shd w:val="clear" w:color="auto" w:fill="CCECFF"/>
          </w:tcPr>
          <w:p>
            <w:pPr>
              <w:jc w:val="right"/>
              <w:ind w:right="830"/>
              <w:spacing w:after="0" w:line="208" w:lineRule="exact"/>
              <w:rPr>
                <w:sz w:val="20"/>
                <w:szCs w:val="20"/>
                <w:color w:val="auto"/>
              </w:rPr>
            </w:pPr>
            <w:r>
              <w:rPr>
                <w:rFonts w:ascii="Calibri" w:cs="Calibri" w:eastAsia="Calibri" w:hAnsi="Calibri"/>
                <w:sz w:val="18"/>
                <w:szCs w:val="18"/>
                <w:color w:val="auto"/>
                <w:w w:val="87"/>
              </w:rPr>
              <w:t>$</w:t>
            </w:r>
          </w:p>
        </w:tc>
        <w:tc>
          <w:tcPr>
            <w:tcW w:w="1860" w:type="dxa"/>
            <w:vAlign w:val="bottom"/>
            <w:tcBorders>
              <w:bottom w:val="single" w:sz="8" w:color="CCECFF"/>
            </w:tcBorders>
            <w:gridSpan w:val="2"/>
            <w:shd w:val="clear" w:color="auto" w:fill="CCECFF"/>
          </w:tcPr>
          <w:p>
            <w:pPr>
              <w:jc w:val="right"/>
              <w:ind w:right="280"/>
              <w:spacing w:after="0" w:line="208" w:lineRule="exact"/>
              <w:rPr>
                <w:sz w:val="20"/>
                <w:szCs w:val="20"/>
                <w:color w:val="auto"/>
              </w:rPr>
            </w:pPr>
            <w:r>
              <w:rPr>
                <w:rFonts w:ascii="Calibri" w:cs="Calibri" w:eastAsia="Calibri" w:hAnsi="Calibri"/>
                <w:sz w:val="18"/>
                <w:szCs w:val="18"/>
                <w:color w:val="auto"/>
              </w:rPr>
              <w:t>(4,113 )</w:t>
            </w:r>
          </w:p>
        </w:tc>
      </w:tr>
      <w:tr>
        <w:trPr>
          <w:trHeight w:val="215"/>
        </w:trPr>
        <w:tc>
          <w:tcPr>
            <w:tcW w:w="5460" w:type="dxa"/>
            <w:vAlign w:val="bottom"/>
          </w:tcPr>
          <w:p>
            <w:pPr>
              <w:ind w:left="120"/>
              <w:spacing w:after="0" w:line="215" w:lineRule="exact"/>
              <w:rPr>
                <w:sz w:val="20"/>
                <w:szCs w:val="20"/>
                <w:color w:val="auto"/>
              </w:rPr>
            </w:pPr>
            <w:r>
              <w:rPr>
                <w:rFonts w:ascii="Calibri" w:cs="Calibri" w:eastAsia="Calibri" w:hAnsi="Calibri"/>
                <w:sz w:val="18"/>
                <w:szCs w:val="18"/>
                <w:color w:val="auto"/>
              </w:rPr>
              <w:t>Interest (income)/expense</w:t>
            </w:r>
          </w:p>
        </w:tc>
        <w:tc>
          <w:tcPr>
            <w:tcW w:w="1580" w:type="dxa"/>
            <w:vAlign w:val="bottom"/>
          </w:tcPr>
          <w:p>
            <w:pPr>
              <w:spacing w:after="0"/>
              <w:rPr>
                <w:sz w:val="18"/>
                <w:szCs w:val="18"/>
                <w:color w:val="auto"/>
              </w:rPr>
            </w:pPr>
          </w:p>
        </w:tc>
        <w:tc>
          <w:tcPr>
            <w:tcW w:w="1320" w:type="dxa"/>
            <w:vAlign w:val="bottom"/>
            <w:gridSpan w:val="2"/>
          </w:tcPr>
          <w:p>
            <w:pPr>
              <w:jc w:val="right"/>
              <w:ind w:right="260"/>
              <w:spacing w:after="0" w:line="215" w:lineRule="exact"/>
              <w:rPr>
                <w:sz w:val="20"/>
                <w:szCs w:val="20"/>
                <w:color w:val="auto"/>
              </w:rPr>
            </w:pPr>
            <w:r>
              <w:rPr>
                <w:rFonts w:ascii="Calibri" w:cs="Calibri" w:eastAsia="Calibri" w:hAnsi="Calibri"/>
                <w:sz w:val="18"/>
                <w:szCs w:val="18"/>
                <w:color w:val="auto"/>
              </w:rPr>
              <w:t>(148 )</w:t>
            </w:r>
          </w:p>
        </w:tc>
        <w:tc>
          <w:tcPr>
            <w:tcW w:w="1020" w:type="dxa"/>
            <w:vAlign w:val="bottom"/>
          </w:tcPr>
          <w:p>
            <w:pPr>
              <w:spacing w:after="0"/>
              <w:rPr>
                <w:sz w:val="18"/>
                <w:szCs w:val="18"/>
                <w:color w:val="auto"/>
              </w:rPr>
            </w:pPr>
          </w:p>
        </w:tc>
        <w:tc>
          <w:tcPr>
            <w:tcW w:w="1500" w:type="dxa"/>
            <w:vAlign w:val="bottom"/>
          </w:tcPr>
          <w:p>
            <w:pPr>
              <w:jc w:val="right"/>
              <w:spacing w:after="0" w:line="215" w:lineRule="exact"/>
              <w:rPr>
                <w:sz w:val="20"/>
                <w:szCs w:val="20"/>
                <w:color w:val="auto"/>
              </w:rPr>
            </w:pPr>
            <w:r>
              <w:rPr>
                <w:rFonts w:ascii="Calibri" w:cs="Calibri" w:eastAsia="Calibri" w:hAnsi="Calibri"/>
                <w:sz w:val="18"/>
                <w:szCs w:val="18"/>
                <w:color w:val="auto"/>
              </w:rPr>
              <w:t>12</w:t>
            </w:r>
          </w:p>
        </w:tc>
        <w:tc>
          <w:tcPr>
            <w:tcW w:w="360" w:type="dxa"/>
            <w:vAlign w:val="bottom"/>
          </w:tcPr>
          <w:p>
            <w:pPr>
              <w:spacing w:after="0"/>
              <w:rPr>
                <w:sz w:val="18"/>
                <w:szCs w:val="18"/>
                <w:color w:val="auto"/>
              </w:rPr>
            </w:pPr>
          </w:p>
        </w:tc>
      </w:tr>
      <w:tr>
        <w:trPr>
          <w:trHeight w:val="28"/>
        </w:trPr>
        <w:tc>
          <w:tcPr>
            <w:tcW w:w="54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223"/>
        </w:trPr>
        <w:tc>
          <w:tcPr>
            <w:tcW w:w="5460" w:type="dxa"/>
            <w:vAlign w:val="bottom"/>
            <w:tcBorders>
              <w:bottom w:val="single" w:sz="8" w:color="CCECFF"/>
            </w:tcBorders>
            <w:shd w:val="clear" w:color="auto" w:fill="CCECFF"/>
          </w:tcPr>
          <w:p>
            <w:pPr>
              <w:ind w:left="120"/>
              <w:spacing w:after="0" w:line="215" w:lineRule="exact"/>
              <w:rPr>
                <w:sz w:val="20"/>
                <w:szCs w:val="20"/>
                <w:color w:val="auto"/>
              </w:rPr>
            </w:pPr>
            <w:r>
              <w:rPr>
                <w:rFonts w:ascii="Calibri" w:cs="Calibri" w:eastAsia="Calibri" w:hAnsi="Calibri"/>
                <w:sz w:val="18"/>
                <w:szCs w:val="18"/>
                <w:color w:val="auto"/>
              </w:rPr>
              <w:t>Income tax expense</w:t>
            </w:r>
          </w:p>
        </w:tc>
        <w:tc>
          <w:tcPr>
            <w:tcW w:w="1580" w:type="dxa"/>
            <w:vAlign w:val="bottom"/>
            <w:tcBorders>
              <w:bottom w:val="single" w:sz="8" w:color="CCECFF"/>
            </w:tcBorders>
            <w:shd w:val="clear" w:color="auto" w:fill="CCECFF"/>
          </w:tcPr>
          <w:p>
            <w:pPr>
              <w:spacing w:after="0"/>
              <w:rPr>
                <w:sz w:val="19"/>
                <w:szCs w:val="19"/>
                <w:color w:val="auto"/>
              </w:rPr>
            </w:pPr>
          </w:p>
        </w:tc>
        <w:tc>
          <w:tcPr>
            <w:tcW w:w="980" w:type="dxa"/>
            <w:vAlign w:val="bottom"/>
            <w:tcBorders>
              <w:bottom w:val="single" w:sz="8" w:color="CCECFF"/>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22</w:t>
            </w:r>
          </w:p>
        </w:tc>
        <w:tc>
          <w:tcPr>
            <w:tcW w:w="340" w:type="dxa"/>
            <w:vAlign w:val="bottom"/>
            <w:tcBorders>
              <w:bottom w:val="single" w:sz="8" w:color="CCECFF"/>
            </w:tcBorders>
            <w:shd w:val="clear" w:color="auto" w:fill="CCECFF"/>
          </w:tcPr>
          <w:p>
            <w:pPr>
              <w:spacing w:after="0"/>
              <w:rPr>
                <w:sz w:val="19"/>
                <w:szCs w:val="19"/>
                <w:color w:val="auto"/>
              </w:rPr>
            </w:pPr>
          </w:p>
        </w:tc>
        <w:tc>
          <w:tcPr>
            <w:tcW w:w="1020" w:type="dxa"/>
            <w:vAlign w:val="bottom"/>
            <w:tcBorders>
              <w:bottom w:val="single" w:sz="8" w:color="CCECFF"/>
            </w:tcBorders>
            <w:shd w:val="clear" w:color="auto" w:fill="CCECFF"/>
          </w:tcPr>
          <w:p>
            <w:pPr>
              <w:spacing w:after="0"/>
              <w:rPr>
                <w:sz w:val="19"/>
                <w:szCs w:val="19"/>
                <w:color w:val="auto"/>
              </w:rPr>
            </w:pPr>
          </w:p>
        </w:tc>
        <w:tc>
          <w:tcPr>
            <w:tcW w:w="1500" w:type="dxa"/>
            <w:vAlign w:val="bottom"/>
            <w:tcBorders>
              <w:bottom w:val="single" w:sz="8" w:color="CCECFF"/>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55</w:t>
            </w:r>
          </w:p>
        </w:tc>
        <w:tc>
          <w:tcPr>
            <w:tcW w:w="360" w:type="dxa"/>
            <w:vAlign w:val="bottom"/>
            <w:tcBorders>
              <w:bottom w:val="single" w:sz="8" w:color="CCECFF"/>
            </w:tcBorders>
            <w:shd w:val="clear" w:color="auto" w:fill="CCECFF"/>
          </w:tcPr>
          <w:p>
            <w:pPr>
              <w:spacing w:after="0"/>
              <w:rPr>
                <w:sz w:val="19"/>
                <w:szCs w:val="19"/>
                <w:color w:val="auto"/>
              </w:rPr>
            </w:pPr>
          </w:p>
        </w:tc>
      </w:tr>
      <w:tr>
        <w:trPr>
          <w:trHeight w:val="215"/>
        </w:trPr>
        <w:tc>
          <w:tcPr>
            <w:tcW w:w="5460" w:type="dxa"/>
            <w:vAlign w:val="bottom"/>
          </w:tcPr>
          <w:p>
            <w:pPr>
              <w:ind w:left="120"/>
              <w:spacing w:after="0" w:line="215" w:lineRule="exact"/>
              <w:rPr>
                <w:sz w:val="20"/>
                <w:szCs w:val="20"/>
                <w:color w:val="auto"/>
              </w:rPr>
            </w:pPr>
            <w:r>
              <w:rPr>
                <w:rFonts w:ascii="Calibri" w:cs="Calibri" w:eastAsia="Calibri" w:hAnsi="Calibri"/>
                <w:sz w:val="18"/>
                <w:szCs w:val="18"/>
                <w:color w:val="auto"/>
              </w:rPr>
              <w:t>Depreciaton and amortzaton</w:t>
            </w:r>
          </w:p>
        </w:tc>
        <w:tc>
          <w:tcPr>
            <w:tcW w:w="1580" w:type="dxa"/>
            <w:vAlign w:val="bottom"/>
          </w:tcPr>
          <w:p>
            <w:pPr>
              <w:spacing w:after="0"/>
              <w:rPr>
                <w:sz w:val="18"/>
                <w:szCs w:val="18"/>
                <w:color w:val="auto"/>
              </w:rPr>
            </w:pPr>
          </w:p>
        </w:tc>
        <w:tc>
          <w:tcPr>
            <w:tcW w:w="980" w:type="dxa"/>
            <w:vAlign w:val="bottom"/>
          </w:tcPr>
          <w:p>
            <w:pPr>
              <w:jc w:val="right"/>
              <w:spacing w:after="0" w:line="215" w:lineRule="exact"/>
              <w:rPr>
                <w:sz w:val="20"/>
                <w:szCs w:val="20"/>
                <w:color w:val="auto"/>
              </w:rPr>
            </w:pPr>
            <w:r>
              <w:rPr>
                <w:rFonts w:ascii="Calibri" w:cs="Calibri" w:eastAsia="Calibri" w:hAnsi="Calibri"/>
                <w:sz w:val="18"/>
                <w:szCs w:val="18"/>
                <w:color w:val="auto"/>
              </w:rPr>
              <w:t>3,284</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00" w:type="dxa"/>
            <w:vAlign w:val="bottom"/>
          </w:tcPr>
          <w:p>
            <w:pPr>
              <w:jc w:val="right"/>
              <w:spacing w:after="0" w:line="215" w:lineRule="exact"/>
              <w:rPr>
                <w:sz w:val="20"/>
                <w:szCs w:val="20"/>
                <w:color w:val="auto"/>
              </w:rPr>
            </w:pPr>
            <w:r>
              <w:rPr>
                <w:rFonts w:ascii="Calibri" w:cs="Calibri" w:eastAsia="Calibri" w:hAnsi="Calibri"/>
                <w:sz w:val="18"/>
                <w:szCs w:val="18"/>
                <w:color w:val="auto"/>
              </w:rPr>
              <w:t>3,945</w:t>
            </w:r>
          </w:p>
        </w:tc>
        <w:tc>
          <w:tcPr>
            <w:tcW w:w="360" w:type="dxa"/>
            <w:vAlign w:val="bottom"/>
          </w:tcPr>
          <w:p>
            <w:pPr>
              <w:spacing w:after="0"/>
              <w:rPr>
                <w:sz w:val="18"/>
                <w:szCs w:val="18"/>
                <w:color w:val="auto"/>
              </w:rPr>
            </w:pPr>
          </w:p>
        </w:tc>
      </w:tr>
      <w:tr>
        <w:trPr>
          <w:trHeight w:val="28"/>
        </w:trPr>
        <w:tc>
          <w:tcPr>
            <w:tcW w:w="54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223"/>
        </w:trPr>
        <w:tc>
          <w:tcPr>
            <w:tcW w:w="5460" w:type="dxa"/>
            <w:vAlign w:val="bottom"/>
            <w:tcBorders>
              <w:bottom w:val="single" w:sz="8" w:color="CCECFF"/>
            </w:tcBorders>
            <w:shd w:val="clear" w:color="auto" w:fill="CCECFF"/>
          </w:tcPr>
          <w:p>
            <w:pPr>
              <w:ind w:left="120"/>
              <w:spacing w:after="0" w:line="215" w:lineRule="exact"/>
              <w:rPr>
                <w:sz w:val="20"/>
                <w:szCs w:val="20"/>
                <w:color w:val="auto"/>
              </w:rPr>
            </w:pPr>
            <w:r>
              <w:rPr>
                <w:rFonts w:ascii="Calibri" w:cs="Calibri" w:eastAsia="Calibri" w:hAnsi="Calibri"/>
                <w:sz w:val="18"/>
                <w:szCs w:val="18"/>
                <w:color w:val="auto"/>
              </w:rPr>
              <w:t>Stock compensaton</w:t>
            </w:r>
          </w:p>
        </w:tc>
        <w:tc>
          <w:tcPr>
            <w:tcW w:w="1580" w:type="dxa"/>
            <w:vAlign w:val="bottom"/>
            <w:tcBorders>
              <w:bottom w:val="single" w:sz="8" w:color="CCECFF"/>
            </w:tcBorders>
            <w:shd w:val="clear" w:color="auto" w:fill="CCECFF"/>
          </w:tcPr>
          <w:p>
            <w:pPr>
              <w:spacing w:after="0"/>
              <w:rPr>
                <w:sz w:val="19"/>
                <w:szCs w:val="19"/>
                <w:color w:val="auto"/>
              </w:rPr>
            </w:pPr>
          </w:p>
        </w:tc>
        <w:tc>
          <w:tcPr>
            <w:tcW w:w="980" w:type="dxa"/>
            <w:vAlign w:val="bottom"/>
            <w:tcBorders>
              <w:bottom w:val="single" w:sz="8" w:color="CCECFF"/>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932</w:t>
            </w:r>
          </w:p>
        </w:tc>
        <w:tc>
          <w:tcPr>
            <w:tcW w:w="340" w:type="dxa"/>
            <w:vAlign w:val="bottom"/>
            <w:tcBorders>
              <w:bottom w:val="single" w:sz="8" w:color="CCECFF"/>
            </w:tcBorders>
            <w:shd w:val="clear" w:color="auto" w:fill="CCECFF"/>
          </w:tcPr>
          <w:p>
            <w:pPr>
              <w:spacing w:after="0"/>
              <w:rPr>
                <w:sz w:val="19"/>
                <w:szCs w:val="19"/>
                <w:color w:val="auto"/>
              </w:rPr>
            </w:pPr>
          </w:p>
        </w:tc>
        <w:tc>
          <w:tcPr>
            <w:tcW w:w="1020" w:type="dxa"/>
            <w:vAlign w:val="bottom"/>
            <w:tcBorders>
              <w:bottom w:val="single" w:sz="8" w:color="CCECFF"/>
            </w:tcBorders>
            <w:shd w:val="clear" w:color="auto" w:fill="CCECFF"/>
          </w:tcPr>
          <w:p>
            <w:pPr>
              <w:spacing w:after="0"/>
              <w:rPr>
                <w:sz w:val="19"/>
                <w:szCs w:val="19"/>
                <w:color w:val="auto"/>
              </w:rPr>
            </w:pPr>
          </w:p>
        </w:tc>
        <w:tc>
          <w:tcPr>
            <w:tcW w:w="1500" w:type="dxa"/>
            <w:vAlign w:val="bottom"/>
            <w:tcBorders>
              <w:bottom w:val="single" w:sz="8" w:color="CCECFF"/>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932</w:t>
            </w:r>
          </w:p>
        </w:tc>
        <w:tc>
          <w:tcPr>
            <w:tcW w:w="360" w:type="dxa"/>
            <w:vAlign w:val="bottom"/>
            <w:tcBorders>
              <w:bottom w:val="single" w:sz="8" w:color="CCECFF"/>
            </w:tcBorders>
            <w:shd w:val="clear" w:color="auto" w:fill="CCECFF"/>
          </w:tcPr>
          <w:p>
            <w:pPr>
              <w:spacing w:after="0"/>
              <w:rPr>
                <w:sz w:val="19"/>
                <w:szCs w:val="19"/>
                <w:color w:val="auto"/>
              </w:rPr>
            </w:pPr>
          </w:p>
        </w:tc>
      </w:tr>
      <w:tr>
        <w:trPr>
          <w:trHeight w:val="215"/>
        </w:trPr>
        <w:tc>
          <w:tcPr>
            <w:tcW w:w="5460" w:type="dxa"/>
            <w:vAlign w:val="bottom"/>
          </w:tcPr>
          <w:p>
            <w:pPr>
              <w:ind w:left="120"/>
              <w:spacing w:after="0" w:line="215" w:lineRule="exact"/>
              <w:rPr>
                <w:sz w:val="20"/>
                <w:szCs w:val="20"/>
                <w:color w:val="auto"/>
              </w:rPr>
            </w:pPr>
            <w:r>
              <w:rPr>
                <w:rFonts w:ascii="Calibri" w:cs="Calibri" w:eastAsia="Calibri" w:hAnsi="Calibri"/>
                <w:sz w:val="18"/>
                <w:szCs w:val="18"/>
                <w:color w:val="auto"/>
              </w:rPr>
              <w:t>Technology implementaton</w:t>
            </w:r>
          </w:p>
        </w:tc>
        <w:tc>
          <w:tcPr>
            <w:tcW w:w="1580" w:type="dxa"/>
            <w:vAlign w:val="bottom"/>
          </w:tcPr>
          <w:p>
            <w:pPr>
              <w:spacing w:after="0"/>
              <w:rPr>
                <w:sz w:val="18"/>
                <w:szCs w:val="18"/>
                <w:color w:val="auto"/>
              </w:rPr>
            </w:pPr>
          </w:p>
        </w:tc>
        <w:tc>
          <w:tcPr>
            <w:tcW w:w="1320" w:type="dxa"/>
            <w:vAlign w:val="bottom"/>
            <w:gridSpan w:val="2"/>
          </w:tcPr>
          <w:p>
            <w:pPr>
              <w:jc w:val="right"/>
              <w:ind w:right="340"/>
              <w:spacing w:after="0" w:line="215" w:lineRule="exact"/>
              <w:rPr>
                <w:sz w:val="20"/>
                <w:szCs w:val="20"/>
                <w:color w:val="auto"/>
              </w:rPr>
            </w:pPr>
            <w:r>
              <w:rPr>
                <w:rFonts w:ascii="Calibri" w:cs="Calibri" w:eastAsia="Calibri" w:hAnsi="Calibri"/>
                <w:sz w:val="18"/>
                <w:szCs w:val="18"/>
                <w:color w:val="auto"/>
              </w:rPr>
              <w:t>—</w:t>
            </w:r>
          </w:p>
        </w:tc>
        <w:tc>
          <w:tcPr>
            <w:tcW w:w="1020" w:type="dxa"/>
            <w:vAlign w:val="bottom"/>
          </w:tcPr>
          <w:p>
            <w:pPr>
              <w:spacing w:after="0"/>
              <w:rPr>
                <w:sz w:val="18"/>
                <w:szCs w:val="18"/>
                <w:color w:val="auto"/>
              </w:rPr>
            </w:pPr>
          </w:p>
        </w:tc>
        <w:tc>
          <w:tcPr>
            <w:tcW w:w="1500" w:type="dxa"/>
            <w:vAlign w:val="bottom"/>
          </w:tcPr>
          <w:p>
            <w:pPr>
              <w:jc w:val="right"/>
              <w:spacing w:after="0" w:line="215" w:lineRule="exact"/>
              <w:rPr>
                <w:sz w:val="20"/>
                <w:szCs w:val="20"/>
                <w:color w:val="auto"/>
              </w:rPr>
            </w:pPr>
            <w:r>
              <w:rPr>
                <w:rFonts w:ascii="Calibri" w:cs="Calibri" w:eastAsia="Calibri" w:hAnsi="Calibri"/>
                <w:sz w:val="18"/>
                <w:szCs w:val="18"/>
                <w:color w:val="auto"/>
              </w:rPr>
              <w:t>293</w:t>
            </w:r>
          </w:p>
        </w:tc>
        <w:tc>
          <w:tcPr>
            <w:tcW w:w="360" w:type="dxa"/>
            <w:vAlign w:val="bottom"/>
          </w:tcPr>
          <w:p>
            <w:pPr>
              <w:spacing w:after="0"/>
              <w:rPr>
                <w:sz w:val="18"/>
                <w:szCs w:val="18"/>
                <w:color w:val="auto"/>
              </w:rPr>
            </w:pPr>
          </w:p>
        </w:tc>
      </w:tr>
      <w:tr>
        <w:trPr>
          <w:trHeight w:val="28"/>
        </w:trPr>
        <w:tc>
          <w:tcPr>
            <w:tcW w:w="54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223"/>
        </w:trPr>
        <w:tc>
          <w:tcPr>
            <w:tcW w:w="5460" w:type="dxa"/>
            <w:vAlign w:val="bottom"/>
            <w:tcBorders>
              <w:bottom w:val="single" w:sz="8" w:color="CCECFF"/>
            </w:tcBorders>
            <w:shd w:val="clear" w:color="auto" w:fill="CCECFF"/>
          </w:tcPr>
          <w:p>
            <w:pPr>
              <w:ind w:left="120"/>
              <w:spacing w:after="0" w:line="215" w:lineRule="exact"/>
              <w:rPr>
                <w:sz w:val="20"/>
                <w:szCs w:val="20"/>
                <w:color w:val="auto"/>
              </w:rPr>
            </w:pPr>
            <w:r>
              <w:rPr>
                <w:rFonts w:ascii="Calibri" w:cs="Calibri" w:eastAsia="Calibri" w:hAnsi="Calibri"/>
                <w:sz w:val="18"/>
                <w:szCs w:val="18"/>
                <w:color w:val="auto"/>
              </w:rPr>
              <w:t>Non-recurring inventory reserve adjustment</w:t>
            </w:r>
          </w:p>
        </w:tc>
        <w:tc>
          <w:tcPr>
            <w:tcW w:w="1580" w:type="dxa"/>
            <w:vAlign w:val="bottom"/>
            <w:tcBorders>
              <w:bottom w:val="single" w:sz="8" w:color="CCECFF"/>
            </w:tcBorders>
            <w:shd w:val="clear" w:color="auto" w:fill="CCECFF"/>
          </w:tcPr>
          <w:p>
            <w:pPr>
              <w:spacing w:after="0"/>
              <w:rPr>
                <w:sz w:val="19"/>
                <w:szCs w:val="19"/>
                <w:color w:val="auto"/>
              </w:rPr>
            </w:pPr>
          </w:p>
        </w:tc>
        <w:tc>
          <w:tcPr>
            <w:tcW w:w="980" w:type="dxa"/>
            <w:vAlign w:val="bottom"/>
            <w:tcBorders>
              <w:bottom w:val="single" w:sz="8" w:color="CCECFF"/>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221</w:t>
            </w:r>
          </w:p>
        </w:tc>
        <w:tc>
          <w:tcPr>
            <w:tcW w:w="340" w:type="dxa"/>
            <w:vAlign w:val="bottom"/>
            <w:tcBorders>
              <w:bottom w:val="single" w:sz="8" w:color="CCECFF"/>
            </w:tcBorders>
            <w:shd w:val="clear" w:color="auto" w:fill="CCECFF"/>
          </w:tcPr>
          <w:p>
            <w:pPr>
              <w:spacing w:after="0"/>
              <w:rPr>
                <w:sz w:val="19"/>
                <w:szCs w:val="19"/>
                <w:color w:val="auto"/>
              </w:rPr>
            </w:pPr>
          </w:p>
        </w:tc>
        <w:tc>
          <w:tcPr>
            <w:tcW w:w="1020" w:type="dxa"/>
            <w:vAlign w:val="bottom"/>
            <w:tcBorders>
              <w:bottom w:val="single" w:sz="8" w:color="CCECFF"/>
            </w:tcBorders>
            <w:shd w:val="clear" w:color="auto" w:fill="CCECFF"/>
          </w:tcPr>
          <w:p>
            <w:pPr>
              <w:spacing w:after="0"/>
              <w:rPr>
                <w:sz w:val="19"/>
                <w:szCs w:val="19"/>
                <w:color w:val="auto"/>
              </w:rPr>
            </w:pPr>
          </w:p>
        </w:tc>
        <w:tc>
          <w:tcPr>
            <w:tcW w:w="1860" w:type="dxa"/>
            <w:vAlign w:val="bottom"/>
            <w:tcBorders>
              <w:bottom w:val="single" w:sz="8" w:color="CCECFF"/>
            </w:tcBorders>
            <w:gridSpan w:val="2"/>
            <w:shd w:val="clear" w:color="auto" w:fill="CCECFF"/>
          </w:tcPr>
          <w:p>
            <w:pPr>
              <w:jc w:val="right"/>
              <w:ind w:right="360"/>
              <w:spacing w:after="0" w:line="215" w:lineRule="exact"/>
              <w:rPr>
                <w:sz w:val="20"/>
                <w:szCs w:val="20"/>
                <w:color w:val="auto"/>
              </w:rPr>
            </w:pPr>
            <w:r>
              <w:rPr>
                <w:rFonts w:ascii="Calibri" w:cs="Calibri" w:eastAsia="Calibri" w:hAnsi="Calibri"/>
                <w:sz w:val="18"/>
                <w:szCs w:val="18"/>
                <w:color w:val="auto"/>
              </w:rPr>
              <w:t>—</w:t>
            </w:r>
          </w:p>
        </w:tc>
      </w:tr>
      <w:tr>
        <w:trPr>
          <w:trHeight w:val="220"/>
        </w:trPr>
        <w:tc>
          <w:tcPr>
            <w:tcW w:w="5460" w:type="dxa"/>
            <w:vAlign w:val="bottom"/>
          </w:tcPr>
          <w:p>
            <w:pPr>
              <w:ind w:left="120"/>
              <w:spacing w:after="0"/>
              <w:rPr>
                <w:sz w:val="20"/>
                <w:szCs w:val="20"/>
                <w:color w:val="auto"/>
              </w:rPr>
            </w:pPr>
            <w:r>
              <w:rPr>
                <w:rFonts w:ascii="Calibri" w:cs="Calibri" w:eastAsia="Calibri" w:hAnsi="Calibri"/>
                <w:sz w:val="18"/>
                <w:szCs w:val="18"/>
                <w:color w:val="auto"/>
              </w:rPr>
              <w:t>Emerging growth status transiton costs</w:t>
            </w:r>
          </w:p>
        </w:tc>
        <w:tc>
          <w:tcPr>
            <w:tcW w:w="1580" w:type="dxa"/>
            <w:vAlign w:val="bottom"/>
          </w:tcPr>
          <w:p>
            <w:pPr>
              <w:spacing w:after="0"/>
              <w:rPr>
                <w:sz w:val="19"/>
                <w:szCs w:val="19"/>
                <w:color w:val="auto"/>
              </w:rPr>
            </w:pPr>
          </w:p>
        </w:tc>
        <w:tc>
          <w:tcPr>
            <w:tcW w:w="980" w:type="dxa"/>
            <w:vAlign w:val="bottom"/>
          </w:tcPr>
          <w:p>
            <w:pPr>
              <w:jc w:val="right"/>
              <w:spacing w:after="0" w:line="215" w:lineRule="exact"/>
              <w:rPr>
                <w:sz w:val="20"/>
                <w:szCs w:val="20"/>
                <w:color w:val="auto"/>
              </w:rPr>
            </w:pPr>
            <w:r>
              <w:rPr>
                <w:rFonts w:ascii="Calibri" w:cs="Calibri" w:eastAsia="Calibri" w:hAnsi="Calibri"/>
                <w:sz w:val="18"/>
                <w:szCs w:val="18"/>
                <w:color w:val="auto"/>
              </w:rPr>
              <w:t>42</w:t>
            </w: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60" w:type="dxa"/>
            <w:vAlign w:val="bottom"/>
            <w:gridSpan w:val="2"/>
          </w:tcPr>
          <w:p>
            <w:pPr>
              <w:jc w:val="right"/>
              <w:ind w:right="360"/>
              <w:spacing w:after="0" w:line="215" w:lineRule="exact"/>
              <w:rPr>
                <w:sz w:val="20"/>
                <w:szCs w:val="20"/>
                <w:color w:val="auto"/>
              </w:rPr>
            </w:pPr>
            <w:r>
              <w:rPr>
                <w:rFonts w:ascii="Calibri" w:cs="Calibri" w:eastAsia="Calibri" w:hAnsi="Calibri"/>
                <w:sz w:val="18"/>
                <w:szCs w:val="18"/>
                <w:color w:val="auto"/>
              </w:rPr>
              <w:t>—</w:t>
            </w:r>
          </w:p>
        </w:tc>
      </w:tr>
      <w:tr>
        <w:trPr>
          <w:trHeight w:val="23"/>
        </w:trPr>
        <w:tc>
          <w:tcPr>
            <w:tcW w:w="546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76"/>
        </w:trPr>
        <w:tc>
          <w:tcPr>
            <w:tcW w:w="5460" w:type="dxa"/>
            <w:vAlign w:val="bottom"/>
            <w:tcBorders>
              <w:bottom w:val="single" w:sz="8" w:color="CCECFF"/>
            </w:tcBorders>
            <w:shd w:val="clear" w:color="auto" w:fill="CCECFF"/>
          </w:tcPr>
          <w:p>
            <w:pPr>
              <w:ind w:left="120"/>
              <w:spacing w:after="0"/>
              <w:rPr>
                <w:sz w:val="20"/>
                <w:szCs w:val="20"/>
                <w:color w:val="auto"/>
              </w:rPr>
            </w:pPr>
            <w:r>
              <w:rPr>
                <w:rFonts w:ascii="Calibri" w:cs="Calibri" w:eastAsia="Calibri" w:hAnsi="Calibri"/>
                <w:sz w:val="18"/>
                <w:szCs w:val="18"/>
                <w:color w:val="auto"/>
              </w:rPr>
              <w:t>Non-GAAP Adjusted EBITDAS</w:t>
            </w:r>
          </w:p>
        </w:tc>
        <w:tc>
          <w:tcPr>
            <w:tcW w:w="1580" w:type="dxa"/>
            <w:vAlign w:val="bottom"/>
            <w:tcBorders>
              <w:bottom w:val="single" w:sz="8" w:color="auto"/>
            </w:tcBorders>
            <w:shd w:val="clear" w:color="auto" w:fill="CCECFF"/>
          </w:tcPr>
          <w:p>
            <w:pPr>
              <w:jc w:val="right"/>
              <w:ind w:right="1396"/>
              <w:spacing w:after="0" w:line="215" w:lineRule="exact"/>
              <w:rPr>
                <w:sz w:val="20"/>
                <w:szCs w:val="20"/>
                <w:color w:val="auto"/>
              </w:rPr>
            </w:pPr>
            <w:r>
              <w:rPr>
                <w:rFonts w:ascii="Calibri" w:cs="Calibri" w:eastAsia="Calibri" w:hAnsi="Calibri"/>
                <w:sz w:val="18"/>
                <w:szCs w:val="18"/>
                <w:color w:val="auto"/>
                <w:w w:val="87"/>
              </w:rPr>
              <w:t>$</w:t>
            </w:r>
          </w:p>
        </w:tc>
        <w:tc>
          <w:tcPr>
            <w:tcW w:w="980" w:type="dxa"/>
            <w:vAlign w:val="bottom"/>
            <w:tcBorders>
              <w:bottom w:val="single" w:sz="8" w:color="auto"/>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1,988</w:t>
            </w:r>
          </w:p>
        </w:tc>
        <w:tc>
          <w:tcPr>
            <w:tcW w:w="340" w:type="dxa"/>
            <w:vAlign w:val="bottom"/>
            <w:tcBorders>
              <w:bottom w:val="single" w:sz="8" w:color="CCECFF"/>
            </w:tcBorders>
            <w:shd w:val="clear" w:color="auto" w:fill="CCECFF"/>
          </w:tcPr>
          <w:p>
            <w:pPr>
              <w:spacing w:after="0"/>
              <w:rPr>
                <w:sz w:val="24"/>
                <w:szCs w:val="24"/>
                <w:color w:val="auto"/>
              </w:rPr>
            </w:pPr>
          </w:p>
        </w:tc>
        <w:tc>
          <w:tcPr>
            <w:tcW w:w="1020" w:type="dxa"/>
            <w:vAlign w:val="bottom"/>
            <w:tcBorders>
              <w:bottom w:val="single" w:sz="8" w:color="auto"/>
            </w:tcBorders>
            <w:shd w:val="clear" w:color="auto" w:fill="CCECFF"/>
          </w:tcPr>
          <w:p>
            <w:pPr>
              <w:jc w:val="right"/>
              <w:ind w:right="830"/>
              <w:spacing w:after="0" w:line="215" w:lineRule="exact"/>
              <w:rPr>
                <w:sz w:val="20"/>
                <w:szCs w:val="20"/>
                <w:color w:val="auto"/>
              </w:rPr>
            </w:pPr>
            <w:r>
              <w:rPr>
                <w:rFonts w:ascii="Calibri" w:cs="Calibri" w:eastAsia="Calibri" w:hAnsi="Calibri"/>
                <w:sz w:val="18"/>
                <w:szCs w:val="18"/>
                <w:color w:val="auto"/>
                <w:w w:val="87"/>
              </w:rPr>
              <w:t>$</w:t>
            </w:r>
          </w:p>
        </w:tc>
        <w:tc>
          <w:tcPr>
            <w:tcW w:w="1500" w:type="dxa"/>
            <w:vAlign w:val="bottom"/>
            <w:tcBorders>
              <w:bottom w:val="single" w:sz="8" w:color="auto"/>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1,124</w:t>
            </w:r>
          </w:p>
        </w:tc>
        <w:tc>
          <w:tcPr>
            <w:tcW w:w="360" w:type="dxa"/>
            <w:vAlign w:val="bottom"/>
            <w:tcBorders>
              <w:bottom w:val="single" w:sz="8" w:color="CCECFF"/>
            </w:tcBorders>
            <w:shd w:val="clear" w:color="auto" w:fill="CCECFF"/>
          </w:tcPr>
          <w:p>
            <w:pPr>
              <w:spacing w:after="0"/>
              <w:rPr>
                <w:sz w:val="24"/>
                <w:szCs w:val="24"/>
                <w:color w:val="auto"/>
              </w:rPr>
            </w:pPr>
          </w:p>
        </w:tc>
      </w:tr>
      <w:tr>
        <w:trPr>
          <w:trHeight w:val="1216"/>
        </w:trPr>
        <w:tc>
          <w:tcPr>
            <w:tcW w:w="546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-822325</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-805180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6914515</wp:posOffset>
            </wp:positionH>
            <wp:positionV relativeFrom="paragraph">
              <wp:posOffset>-822325</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6914515</wp:posOffset>
            </wp:positionH>
            <wp:positionV relativeFrom="paragraph">
              <wp:posOffset>-805180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12" w:name="page13"/>
    <w:bookmarkEnd w:id="1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2024-09-05T15:19:22Z</dcterms:created>
  <dcterms:modified xsi:type="dcterms:W3CDTF">2024-09-05T15:19:22Z</dcterms:modified>
</cp:coreProperties>
</file>