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1134745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304165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228"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18" w:lineRule="exact"/>
        <w:rPr>
          <w:sz w:val="24"/>
          <w:szCs w:val="24"/>
          <w:color w:val="auto"/>
        </w:rPr>
      </w:pPr>
    </w:p>
    <w:p>
      <w:pPr>
        <w:jc w:val="center"/>
        <w:ind w:right="-1060"/>
        <w:spacing w:after="0"/>
        <w:tabs>
          <w:tab w:leader="none" w:pos="200" w:val="left"/>
        </w:tabs>
        <w:rPr>
          <w:sz w:val="20"/>
          <w:szCs w:val="20"/>
          <w:color w:val="auto"/>
        </w:rPr>
      </w:pPr>
      <w:r>
        <w:rPr>
          <w:rFonts w:ascii="Times New Roman" w:cs="Times New Roman" w:eastAsia="Times New Roman" w:hAnsi="Times New Roman"/>
          <w:sz w:val="22"/>
          <w:szCs w:val="22"/>
          <w:b w:val="1"/>
          <w:bCs w:val="1"/>
          <w:color w:val="auto"/>
        </w:rPr>
        <w:t>Securities Exchange Act of 1934 (Amendment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313055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387" w:lineRule="exact"/>
        <w:rPr>
          <w:sz w:val="24"/>
          <w:szCs w:val="24"/>
          <w:color w:val="auto"/>
        </w:rPr>
      </w:pPr>
    </w:p>
    <w:p>
      <w:pPr>
        <w:ind w:left="580" w:hanging="559"/>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75" w:lineRule="exact"/>
        <w:rPr>
          <w:rFonts w:ascii="MS PGothic" w:cs="MS PGothic" w:eastAsia="MS PGothic" w:hAnsi="MS PGothic"/>
          <w:sz w:val="18"/>
          <w:szCs w:val="18"/>
          <w:color w:val="auto"/>
        </w:rPr>
      </w:pPr>
    </w:p>
    <w:p>
      <w:pPr>
        <w:ind w:left="580" w:hanging="559"/>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83" w:lineRule="exact"/>
        <w:rPr>
          <w:rFonts w:ascii="MS PGothic" w:cs="MS PGothic" w:eastAsia="MS PGothic" w:hAnsi="MS PGothic"/>
          <w:sz w:val="18"/>
          <w:szCs w:val="18"/>
          <w:color w:val="auto"/>
        </w:rPr>
      </w:pPr>
    </w:p>
    <w:p>
      <w:pPr>
        <w:ind w:left="580" w:hanging="559"/>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79" w:lineRule="exact"/>
        <w:rPr>
          <w:sz w:val="24"/>
          <w:szCs w:val="24"/>
          <w:color w:val="auto"/>
        </w:rPr>
      </w:pPr>
    </w:p>
    <w:p>
      <w:pPr>
        <w:ind w:left="580" w:hanging="559"/>
        <w:spacing w:after="0"/>
        <w:tabs>
          <w:tab w:leader="none" w:pos="5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79" w:lineRule="exact"/>
        <w:rPr>
          <w:sz w:val="24"/>
          <w:szCs w:val="24"/>
          <w:color w:val="auto"/>
        </w:rPr>
      </w:pPr>
    </w:p>
    <w:p>
      <w:pPr>
        <w:ind w:left="580" w:hanging="559"/>
        <w:spacing w:after="0"/>
        <w:tabs>
          <w:tab w:leader="none" w:pos="5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 240.14a-12</w:t>
      </w:r>
    </w:p>
    <w:p>
      <w:pPr>
        <w:spacing w:after="0" w:line="311"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40"/>
          <w:szCs w:val="40"/>
          <w:b w:val="1"/>
          <w:bCs w:val="1"/>
          <w:color w:val="auto"/>
        </w:rPr>
        <w:t>American Outdoor Brands, Inc.</w:t>
      </w:r>
    </w:p>
    <w:p>
      <w:pPr>
        <w:spacing w:after="0" w:line="41"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307"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31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00" w:lineRule="exact"/>
        <w:rPr>
          <w:sz w:val="24"/>
          <w:szCs w:val="24"/>
          <w:color w:val="auto"/>
        </w:rPr>
      </w:pPr>
    </w:p>
    <w:p>
      <w:pPr>
        <w:spacing w:after="0" w:line="309" w:lineRule="exact"/>
        <w:rPr>
          <w:sz w:val="24"/>
          <w:szCs w:val="24"/>
          <w:color w:val="auto"/>
        </w:rPr>
      </w:pPr>
    </w:p>
    <w:p>
      <w:pPr>
        <w:ind w:left="600" w:hanging="579"/>
        <w:spacing w:after="0"/>
        <w:tabs>
          <w:tab w:leader="none" w:pos="60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79" w:lineRule="exact"/>
        <w:rPr>
          <w:sz w:val="24"/>
          <w:szCs w:val="24"/>
          <w:color w:val="auto"/>
        </w:rPr>
      </w:pPr>
    </w:p>
    <w:p>
      <w:pPr>
        <w:ind w:left="600" w:hanging="579"/>
        <w:spacing w:after="0"/>
        <w:tabs>
          <w:tab w:leader="none" w:pos="60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279" w:lineRule="exact"/>
        <w:rPr>
          <w:rFonts w:ascii="MS PGothic" w:cs="MS PGothic" w:eastAsia="MS PGothic" w:hAnsi="MS PGothic"/>
          <w:sz w:val="18"/>
          <w:szCs w:val="18"/>
          <w:color w:val="auto"/>
        </w:rPr>
      </w:pPr>
    </w:p>
    <w:p>
      <w:pPr>
        <w:ind w:left="1160" w:hanging="558"/>
        <w:spacing w:after="0"/>
        <w:tabs>
          <w:tab w:leader="none" w:pos="11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733425</wp:posOffset>
            </wp:positionH>
            <wp:positionV relativeFrom="paragraph">
              <wp:posOffset>308610</wp:posOffset>
            </wp:positionV>
            <wp:extent cx="63950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9508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1213485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ind w:left="1139" w:hanging="558"/>
        <w:spacing w:after="0"/>
        <w:tabs>
          <w:tab w:leader="none" w:pos="1139"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200" w:lineRule="exact"/>
        <w:rPr>
          <w:rFonts w:ascii="Times New Roman" w:cs="Times New Roman" w:eastAsia="Times New Roman" w:hAnsi="Times New Roman"/>
          <w:sz w:val="18"/>
          <w:szCs w:val="18"/>
          <w:color w:val="auto"/>
        </w:rPr>
      </w:pPr>
    </w:p>
    <w:p>
      <w:pPr>
        <w:spacing w:after="0" w:line="322" w:lineRule="exact"/>
        <w:rPr>
          <w:rFonts w:ascii="Times New Roman" w:cs="Times New Roman" w:eastAsia="Times New Roman" w:hAnsi="Times New Roman"/>
          <w:sz w:val="18"/>
          <w:szCs w:val="18"/>
          <w:color w:val="auto"/>
        </w:rPr>
      </w:pPr>
    </w:p>
    <w:p>
      <w:pPr>
        <w:ind w:left="1139" w:right="160" w:hanging="558"/>
        <w:spacing w:after="0" w:line="282" w:lineRule="auto"/>
        <w:tabs>
          <w:tab w:leader="none" w:pos="1139"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Times New Roman" w:cs="Times New Roman" w:eastAsia="Times New Roman" w:hAnsi="Times New Roman"/>
          <w:sz w:val="18"/>
          <w:szCs w:val="18"/>
          <w:color w:val="auto"/>
        </w:rPr>
      </w:pPr>
    </w:p>
    <w:p>
      <w:pPr>
        <w:spacing w:after="0" w:line="258" w:lineRule="exact"/>
        <w:rPr>
          <w:rFonts w:ascii="Times New Roman" w:cs="Times New Roman" w:eastAsia="Times New Roman" w:hAnsi="Times New Roman"/>
          <w:sz w:val="18"/>
          <w:szCs w:val="18"/>
          <w:color w:val="auto"/>
        </w:rPr>
      </w:pPr>
    </w:p>
    <w:p>
      <w:pPr>
        <w:ind w:left="1139" w:hanging="558"/>
        <w:spacing w:after="0"/>
        <w:tabs>
          <w:tab w:leader="none" w:pos="1139"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200" w:lineRule="exact"/>
        <w:rPr>
          <w:rFonts w:ascii="Times New Roman" w:cs="Times New Roman" w:eastAsia="Times New Roman" w:hAnsi="Times New Roman"/>
          <w:sz w:val="18"/>
          <w:szCs w:val="18"/>
          <w:color w:val="auto"/>
        </w:rPr>
      </w:pPr>
    </w:p>
    <w:p>
      <w:pPr>
        <w:spacing w:after="0" w:line="322" w:lineRule="exact"/>
        <w:rPr>
          <w:rFonts w:ascii="Times New Roman" w:cs="Times New Roman" w:eastAsia="Times New Roman" w:hAnsi="Times New Roman"/>
          <w:sz w:val="18"/>
          <w:szCs w:val="18"/>
          <w:color w:val="auto"/>
        </w:rPr>
      </w:pPr>
    </w:p>
    <w:p>
      <w:pPr>
        <w:ind w:left="1139" w:hanging="558"/>
        <w:spacing w:after="0"/>
        <w:tabs>
          <w:tab w:leader="none" w:pos="1139"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65" w:lineRule="exact"/>
        <w:rPr>
          <w:rFonts w:ascii="Times New Roman" w:cs="Times New Roman" w:eastAsia="Times New Roman" w:hAnsi="Times New Roman"/>
          <w:sz w:val="18"/>
          <w:szCs w:val="18"/>
          <w:color w:val="auto"/>
        </w:rPr>
      </w:pPr>
    </w:p>
    <w:p>
      <w:pPr>
        <w:ind w:left="579" w:hanging="579"/>
        <w:spacing w:after="0"/>
        <w:tabs>
          <w:tab w:leader="none" w:pos="579" w:val="left"/>
        </w:tabs>
        <w:numPr>
          <w:ilvl w:val="0"/>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79" w:lineRule="exact"/>
        <w:rPr>
          <w:rFonts w:ascii="MS PGothic" w:cs="MS PGothic" w:eastAsia="MS PGothic" w:hAnsi="MS PGothic"/>
          <w:sz w:val="18"/>
          <w:szCs w:val="18"/>
          <w:color w:val="auto"/>
        </w:rPr>
      </w:pPr>
    </w:p>
    <w:p>
      <w:pPr>
        <w:ind w:left="579" w:hanging="579"/>
        <w:spacing w:after="0" w:line="282" w:lineRule="auto"/>
        <w:tabs>
          <w:tab w:leader="none" w:pos="579" w:val="left"/>
        </w:tabs>
        <w:numPr>
          <w:ilvl w:val="0"/>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15" w:lineRule="exact"/>
        <w:rPr>
          <w:rFonts w:ascii="MS PGothic" w:cs="MS PGothic" w:eastAsia="MS PGothic" w:hAnsi="MS PGothic"/>
          <w:sz w:val="18"/>
          <w:szCs w:val="18"/>
          <w:color w:val="auto"/>
        </w:rPr>
      </w:pPr>
    </w:p>
    <w:p>
      <w:pPr>
        <w:ind w:left="1139" w:hanging="558"/>
        <w:spacing w:after="0"/>
        <w:tabs>
          <w:tab w:leader="none" w:pos="1139"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200" w:lineRule="exact"/>
        <w:rPr>
          <w:rFonts w:ascii="Times New Roman" w:cs="Times New Roman" w:eastAsia="Times New Roman" w:hAnsi="Times New Roman"/>
          <w:sz w:val="18"/>
          <w:szCs w:val="18"/>
          <w:color w:val="auto"/>
        </w:rPr>
      </w:pPr>
    </w:p>
    <w:p>
      <w:pPr>
        <w:spacing w:after="0" w:line="322" w:lineRule="exact"/>
        <w:rPr>
          <w:rFonts w:ascii="Times New Roman" w:cs="Times New Roman" w:eastAsia="Times New Roman" w:hAnsi="Times New Roman"/>
          <w:sz w:val="18"/>
          <w:szCs w:val="18"/>
          <w:color w:val="auto"/>
        </w:rPr>
      </w:pPr>
    </w:p>
    <w:p>
      <w:pPr>
        <w:ind w:left="1139" w:hanging="558"/>
        <w:spacing w:after="0"/>
        <w:tabs>
          <w:tab w:leader="none" w:pos="1139"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200" w:lineRule="exact"/>
        <w:rPr>
          <w:rFonts w:ascii="Times New Roman" w:cs="Times New Roman" w:eastAsia="Times New Roman" w:hAnsi="Times New Roman"/>
          <w:sz w:val="18"/>
          <w:szCs w:val="18"/>
          <w:color w:val="auto"/>
        </w:rPr>
      </w:pPr>
    </w:p>
    <w:p>
      <w:pPr>
        <w:spacing w:after="0" w:line="322" w:lineRule="exact"/>
        <w:rPr>
          <w:rFonts w:ascii="Times New Roman" w:cs="Times New Roman" w:eastAsia="Times New Roman" w:hAnsi="Times New Roman"/>
          <w:sz w:val="18"/>
          <w:szCs w:val="18"/>
          <w:color w:val="auto"/>
        </w:rPr>
      </w:pPr>
    </w:p>
    <w:p>
      <w:pPr>
        <w:ind w:left="1139" w:hanging="558"/>
        <w:spacing w:after="0"/>
        <w:tabs>
          <w:tab w:leader="none" w:pos="1139"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200" w:lineRule="exact"/>
        <w:rPr>
          <w:rFonts w:ascii="Times New Roman" w:cs="Times New Roman" w:eastAsia="Times New Roman" w:hAnsi="Times New Roman"/>
          <w:sz w:val="18"/>
          <w:szCs w:val="18"/>
          <w:color w:val="auto"/>
        </w:rPr>
      </w:pPr>
    </w:p>
    <w:p>
      <w:pPr>
        <w:spacing w:after="0" w:line="322" w:lineRule="exact"/>
        <w:rPr>
          <w:rFonts w:ascii="Times New Roman" w:cs="Times New Roman" w:eastAsia="Times New Roman" w:hAnsi="Times New Roman"/>
          <w:sz w:val="18"/>
          <w:szCs w:val="18"/>
          <w:color w:val="auto"/>
        </w:rPr>
      </w:pPr>
    </w:p>
    <w:p>
      <w:pPr>
        <w:ind w:left="1139" w:hanging="558"/>
        <w:spacing w:after="0"/>
        <w:tabs>
          <w:tab w:leader="none" w:pos="1139"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-3977005</wp:posOffset>
            </wp:positionV>
            <wp:extent cx="63950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95085" cy="8255"/>
                    </a:xfrm>
                    <a:prstGeom prst="rect">
                      <a:avLst/>
                    </a:prstGeom>
                    <a:noFill/>
                  </pic:spPr>
                </pic:pic>
              </a:graphicData>
            </a:graphic>
          </wp:anchor>
        </w:drawing>
        <w:drawing>
          <wp:anchor simplePos="0" relativeHeight="251657728" behindDoc="1" locked="0" layoutInCell="0" allowOverlap="1">
            <wp:simplePos x="0" y="0"/>
            <wp:positionH relativeFrom="column">
              <wp:posOffset>720090</wp:posOffset>
            </wp:positionH>
            <wp:positionV relativeFrom="paragraph">
              <wp:posOffset>-3376930</wp:posOffset>
            </wp:positionV>
            <wp:extent cx="63950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95085" cy="8255"/>
                    </a:xfrm>
                    <a:prstGeom prst="rect">
                      <a:avLst/>
                    </a:prstGeom>
                    <a:noFill/>
                  </pic:spPr>
                </pic:pic>
              </a:graphicData>
            </a:graphic>
          </wp:anchor>
        </w:drawing>
        <w:drawing>
          <wp:anchor simplePos="0" relativeHeight="251657728" behindDoc="1" locked="0" layoutInCell="0" allowOverlap="1">
            <wp:simplePos x="0" y="0"/>
            <wp:positionH relativeFrom="column">
              <wp:posOffset>720090</wp:posOffset>
            </wp:positionH>
            <wp:positionV relativeFrom="paragraph">
              <wp:posOffset>-2914015</wp:posOffset>
            </wp:positionV>
            <wp:extent cx="63950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95085" cy="8255"/>
                    </a:xfrm>
                    <a:prstGeom prst="rect">
                      <a:avLst/>
                    </a:prstGeom>
                    <a:noFill/>
                  </pic:spPr>
                </pic:pic>
              </a:graphicData>
            </a:graphic>
          </wp:anchor>
        </w:drawing>
        <w:drawing>
          <wp:anchor simplePos="0" relativeHeight="251657728" behindDoc="1" locked="0" layoutInCell="0" allowOverlap="1">
            <wp:simplePos x="0" y="0"/>
            <wp:positionH relativeFrom="column">
              <wp:posOffset>720090</wp:posOffset>
            </wp:positionH>
            <wp:positionV relativeFrom="paragraph">
              <wp:posOffset>-2451100</wp:posOffset>
            </wp:positionV>
            <wp:extent cx="63950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95085" cy="8255"/>
                    </a:xfrm>
                    <a:prstGeom prst="rect">
                      <a:avLst/>
                    </a:prstGeom>
                    <a:noFill/>
                  </pic:spPr>
                </pic:pic>
              </a:graphicData>
            </a:graphic>
          </wp:anchor>
        </w:drawing>
        <w:drawing>
          <wp:anchor simplePos="0" relativeHeight="251657728" behindDoc="1" locked="0" layoutInCell="0" allowOverlap="1">
            <wp:simplePos x="0" y="0"/>
            <wp:positionH relativeFrom="column">
              <wp:posOffset>720090</wp:posOffset>
            </wp:positionH>
            <wp:positionV relativeFrom="paragraph">
              <wp:posOffset>-1079500</wp:posOffset>
            </wp:positionV>
            <wp:extent cx="63950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95085" cy="8255"/>
                    </a:xfrm>
                    <a:prstGeom prst="rect">
                      <a:avLst/>
                    </a:prstGeom>
                    <a:noFill/>
                  </pic:spPr>
                </pic:pic>
              </a:graphicData>
            </a:graphic>
          </wp:anchor>
        </w:drawing>
        <w:drawing>
          <wp:anchor simplePos="0" relativeHeight="251657728" behindDoc="1" locked="0" layoutInCell="0" allowOverlap="1">
            <wp:simplePos x="0" y="0"/>
            <wp:positionH relativeFrom="column">
              <wp:posOffset>720090</wp:posOffset>
            </wp:positionH>
            <wp:positionV relativeFrom="paragraph">
              <wp:posOffset>-616585</wp:posOffset>
            </wp:positionV>
            <wp:extent cx="63950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95085" cy="8255"/>
                    </a:xfrm>
                    <a:prstGeom prst="rect">
                      <a:avLst/>
                    </a:prstGeom>
                    <a:noFill/>
                  </pic:spPr>
                </pic:pic>
              </a:graphicData>
            </a:graphic>
          </wp:anchor>
        </w:drawing>
        <w:drawing>
          <wp:anchor simplePos="0" relativeHeight="251657728" behindDoc="1" locked="0" layoutInCell="0" allowOverlap="1">
            <wp:simplePos x="0" y="0"/>
            <wp:positionH relativeFrom="column">
              <wp:posOffset>720090</wp:posOffset>
            </wp:positionH>
            <wp:positionV relativeFrom="paragraph">
              <wp:posOffset>-153670</wp:posOffset>
            </wp:positionV>
            <wp:extent cx="63950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395085" cy="8890"/>
                    </a:xfrm>
                    <a:prstGeom prst="rect">
                      <a:avLst/>
                    </a:prstGeom>
                    <a:noFill/>
                  </pic:spPr>
                </pic:pic>
              </a:graphicData>
            </a:graphic>
          </wp:anchor>
        </w:drawing>
        <w:drawing>
          <wp:anchor simplePos="0" relativeHeight="251657728" behindDoc="1" locked="0" layoutInCell="0" allowOverlap="1">
            <wp:simplePos x="0" y="0"/>
            <wp:positionH relativeFrom="column">
              <wp:posOffset>720090</wp:posOffset>
            </wp:positionH>
            <wp:positionV relativeFrom="paragraph">
              <wp:posOffset>308610</wp:posOffset>
            </wp:positionV>
            <wp:extent cx="639508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95085"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643255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1530350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99"/>
          </w:cols>
          <w:pgMar w:left="341" w:top="1431" w:right="45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1203325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1374775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SUPPLEMENT TO THE</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AMERICAN OUTDOOR BRANDS, INC.</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2024 NOTICE OF ANNUAL MEETING OF STOCKHOLDERS AND PROXY STATEMENT</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DATED SEPTEMBER 18, 2024</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ANNUAL MEETING OF STOCKHOLDERS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TO BE HELD ON FRIDAY, SEPTEMBER 24, 2024</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Supplement should be read in conjunction with the American Outdoor Brands, Inc. (“we,” “us,” “our,” or “our company”) 2024 Notice of Annual Meeting of Stockholders and Proxy Statement, which were filed with the Securities and Exchange Commission on August 12, 2024 (the “Notice and Proxy 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American Outdoor Brands Stockholder:</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you are aware, our 2024 Annual Meeting of Stockholders will be held at 12:00 p.m. Eastern Time on Tuesday, September 24, 2024 (the “Annual Meeting”). We would like to address concerns raised in a report issued by the proxy advisory firm Institutional Shareholder Services Inc. (“ISS”) on September 10, 2024 regarding Items 1.2, 1.3, and 1.5 Election of Directors in such report.</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Board of Directors regularly considers and evaluates a broad range of corporate governance issues affecting our company and has carefully considered the arguments that have been set forth for and against the vote requirement that the affirmative vote of the holders of at least sixty-six and two-thirds percent (66 2/3%) in voting power of the then outstanding shares of stock of our company generally entitled to vote, voting together as a single class, shall be required to enact certain changes to our Amended and Restated Certificate of Incorporation and Amended and Restated Bylaws (“Supermajority Voting”), including those arguments raised by ISS in its report as well as input from certain stockholders. After careful consideration, our Board of Directors has determined to address the concerns raised and, as set forth below, take the steps necessary to give stockholders the ability to eliminate the stockholder Supermajority Voting provisions in our governing documents.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16, 2024, our Board of Directors committed to providing stockholders the opportunity to vote and will recommend certain amendments to our Amended and Restated Certificate of Incorporation and Amended and Restated Bylaws at the 2025 annual meeting of stockholders that would provide for the elimination of the stockholder Supermajority Voting provisions.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carefully considered many factors in making these decisions, and these changes were made in the best interest of the long-term success of our company and our stockholders. Accordingly, we ask that you vote FOR our director nominees at the 2024 Annual Meeting. Even if you have already voted, you can change your vote at any time before the Annual Meeting. If you have any questions or would like to discuss any aspects of our Annual Meeting, please do not hesitate to contact Liz Sharp, Vice President, Investor Relations, at 573-303-4620, or by email at lsharp@aob.com.</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 vote is important to us. We thank you for your support and hope to see you virtually at the Annual Meeting.</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188595</wp:posOffset>
            </wp:positionV>
            <wp:extent cx="1817370" cy="5397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17370" cy="53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Douglas V. Brown</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Chief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1043305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lvl w:ilvl="1">
      <w:lvlJc w:val="left"/>
      <w:lvlText w:val="(%2)"/>
      <w:numFmt w:val="decimal"/>
      <w:start w:val="1"/>
    </w:lvl>
  </w:abstractNum>
  <w:abstractNum w:abstractNumId="5">
    <w:nsid w:val="2EB141F2"/>
    <w:multiLevelType w:val="hybridMultilevel"/>
    <w:lvl w:ilvl="0">
      <w:lvlJc w:val="left"/>
      <w:lvlText w:val="☐"/>
      <w:numFmt w:val="bullet"/>
      <w:start w:val="1"/>
    </w:lvl>
    <w:lvl w:ilvl="1">
      <w:lvlJc w:val="left"/>
      <w:lvlText w:val="(%2)"/>
      <w:numFmt w:val="decimal"/>
      <w:start w:val="2"/>
    </w:lvl>
  </w:abstractNum>
  <w:abstractNum w:abstractNumId="6">
    <w:nsid w:val="41B71EFB"/>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2024-09-18T06:05:43Z</dcterms:created>
  <dcterms:modified xsi:type="dcterms:W3CDTF">2024-09-18T06:05:43Z</dcterms:modified>
</cp:coreProperties>
</file>