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07"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64"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2025</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001-39366</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40005</wp:posOffset>
            </wp:positionV>
            <wp:extent cx="232283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83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American Outdoor Brands, Inc.</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08"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84-4630928</w:t>
            </w:r>
          </w:p>
        </w:tc>
      </w:tr>
      <w:tr>
        <w:trPr>
          <w:trHeight w:val="205"/>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1800 North Route Z</w:t>
            </w:r>
          </w:p>
        </w:tc>
        <w:tc>
          <w:tcPr>
            <w:tcW w:w="3080" w:type="dxa"/>
            <w:vAlign w:val="bottom"/>
          </w:tcPr>
          <w:p>
            <w:pPr>
              <w:spacing w:after="0"/>
              <w:rPr>
                <w:sz w:val="24"/>
                <w:szCs w:val="24"/>
                <w:color w:val="auto"/>
              </w:rPr>
            </w:pPr>
          </w:p>
        </w:tc>
      </w:tr>
      <w:tr>
        <w:trPr>
          <w:trHeight w:val="238"/>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Columbia, Missouri</w:t>
            </w:r>
          </w:p>
        </w:tc>
        <w:tc>
          <w:tcPr>
            <w:tcW w:w="30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65202</w:t>
            </w:r>
          </w:p>
        </w:tc>
      </w:tr>
      <w:tr>
        <w:trPr>
          <w:trHeight w:val="220"/>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 338-9585</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68"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225" w:right="359" w:bottom="1440" w:gutter="0" w:footer="0" w:header="0"/>
        </w:sectPr>
      </w:pPr>
    </w:p>
    <w:p>
      <w:pPr>
        <w:spacing w:after="0" w:line="13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exchange on which registered</w:t>
      </w:r>
    </w:p>
    <w:p>
      <w:pPr>
        <w:spacing w:after="0" w:line="59" w:lineRule="exact"/>
        <w:rPr>
          <w:sz w:val="24"/>
          <w:szCs w:val="24"/>
          <w:color w:val="auto"/>
        </w:rPr>
      </w:pPr>
    </w:p>
    <w:p>
      <w:pPr>
        <w:sectPr>
          <w:pgSz w:w="11900" w:h="16838" w:orient="portrait"/>
          <w:cols w:equalWidth="0" w:num="3">
            <w:col w:w="4320" w:space="720"/>
            <w:col w:w="1880" w:space="720"/>
            <w:col w:w="3580"/>
          </w:cols>
          <w:pgMar w:left="320" w:top="225" w:right="35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AOUT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700" w:space="720"/>
            <w:col w:w="2060" w:space="720"/>
            <w:col w:w="3020"/>
          </w:cols>
          <w:pgMar w:left="320" w:top="225" w:right="359" w:bottom="1440" w:gutter="0" w:footer="0" w:header="0"/>
          <w:type w:val="continuous"/>
        </w:sectPr>
      </w:pPr>
    </w:p>
    <w:p>
      <w:pPr>
        <w:spacing w:after="0" w:line="8"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1"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ind w:right="40"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420"/>
              <w:spacing w:after="0"/>
              <w:rPr>
                <w:sz w:val="20"/>
                <w:szCs w:val="20"/>
                <w:color w:val="auto"/>
              </w:rPr>
            </w:pPr>
            <w:r>
              <w:rPr>
                <w:rFonts w:ascii="Wingdings" w:cs="Wingdings" w:eastAsia="Wingdings" w:hAnsi="Wingdings"/>
                <w:sz w:val="18"/>
                <w:szCs w:val="18"/>
                <w:b w:val="1"/>
                <w:bCs w:val="1"/>
                <w:color w:val="auto"/>
              </w:rPr>
              <w:t>o</w:t>
            </w: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32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420"/>
              <w:spacing w:after="0"/>
              <w:rPr>
                <w:sz w:val="20"/>
                <w:szCs w:val="20"/>
                <w:color w:val="auto"/>
              </w:rPr>
            </w:pPr>
            <w:r>
              <w:rPr>
                <w:rFonts w:ascii="Wingdings" w:cs="Wingdings" w:eastAsia="Wingdings" w:hAnsi="Wingdings"/>
                <w:sz w:val="18"/>
                <w:szCs w:val="18"/>
                <w:b w:val="1"/>
                <w:bCs w:val="1"/>
                <w:color w:val="auto"/>
              </w:rPr>
              <w:t>o</w:t>
            </w: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32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420"/>
              <w:spacing w:after="0"/>
              <w:rPr>
                <w:sz w:val="20"/>
                <w:szCs w:val="20"/>
                <w:color w:val="auto"/>
              </w:rPr>
            </w:pPr>
            <w:r>
              <w:rPr>
                <w:rFonts w:ascii="Wingdings" w:cs="Wingdings" w:eastAsia="Wingdings" w:hAnsi="Wingdings"/>
                <w:sz w:val="18"/>
                <w:szCs w:val="18"/>
                <w:b w:val="1"/>
                <w:bCs w:val="1"/>
                <w:color w:val="auto"/>
              </w:rPr>
              <w:t>x</w:t>
            </w:r>
          </w:p>
        </w:tc>
        <w:tc>
          <w:tcPr>
            <w:tcW w:w="48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71" w:lineRule="exact"/>
        <w:rPr>
          <w:sz w:val="24"/>
          <w:szCs w:val="24"/>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x</w:t>
      </w:r>
    </w:p>
    <w:p>
      <w:pPr>
        <w:spacing w:after="0" w:line="27" w:lineRule="exact"/>
        <w:rPr>
          <w:sz w:val="24"/>
          <w:szCs w:val="24"/>
          <w:color w:val="auto"/>
        </w:rPr>
      </w:pPr>
    </w:p>
    <w:p>
      <w:pPr>
        <w:ind w:left="1140" w:right="540"/>
        <w:spacing w:after="0" w:line="3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12,587,111 shares of common stock, par value $0.001, outstanding as of December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2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AMERICAN OUTDOOR BRANDS, INC.</w:t>
            </w:r>
          </w:p>
        </w:tc>
        <w:tc>
          <w:tcPr>
            <w:tcW w:w="1800" w:type="dxa"/>
            <w:vAlign w:val="bottom"/>
          </w:tcPr>
          <w:p>
            <w:pPr>
              <w:spacing w:after="0"/>
              <w:rPr>
                <w:sz w:val="20"/>
                <w:szCs w:val="20"/>
                <w:color w:val="auto"/>
              </w:rPr>
            </w:pPr>
          </w:p>
        </w:tc>
      </w:tr>
      <w:tr>
        <w:trPr>
          <w:trHeight w:val="410"/>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80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2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 31, 2025 and 2024</w:t>
            </w:r>
          </w:p>
        </w:tc>
        <w:tc>
          <w:tcPr>
            <w:tcW w:w="18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4"/>
                <w:szCs w:val="24"/>
                <w:color w:val="auto"/>
              </w:rPr>
            </w:pPr>
          </w:p>
        </w:tc>
      </w:tr>
      <w:tr>
        <w:trPr>
          <w:trHeight w:val="445"/>
        </w:trPr>
        <w:tc>
          <w:tcPr>
            <w:tcW w:w="3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6260" w:type="dxa"/>
            <w:vAlign w:val="bottom"/>
            <w:gridSpan w:val="4"/>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4200" w:type="dxa"/>
            <w:vAlign w:val="bottom"/>
            <w:tcBorders>
              <w:left w:val="single" w:sz="8" w:color="0000FF"/>
            </w:tcBorders>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58"/>
        </w:trPr>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560" w:type="dxa"/>
            <w:vAlign w:val="bottom"/>
            <w:gridSpan w:val="5"/>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5"/>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5"/>
            <w:shd w:val="clear" w:color="auto" w:fill="0000FF"/>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2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0000FF"/>
            </w:tcBorders>
            <w:gridSpan w:val="2"/>
            <w:shd w:val="clear" w:color="auto" w:fill="000000"/>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940" w:type="dxa"/>
            <w:vAlign w:val="bottom"/>
            <w:gridSpan w:val="9"/>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346" w:lineRule="exact"/>
        <w:rPr>
          <w:sz w:val="20"/>
          <w:szCs w:val="20"/>
          <w:color w:val="auto"/>
        </w:rPr>
      </w:pPr>
    </w:p>
    <w:p>
      <w:pPr>
        <w:ind w:right="40" w:firstLine="1134"/>
        <w:spacing w:after="0" w:line="253" w:lineRule="auto"/>
        <w:rPr>
          <w:sz w:val="20"/>
          <w:szCs w:val="20"/>
          <w:color w:val="auto"/>
        </w:rPr>
      </w:pPr>
      <w:r>
        <w:rPr>
          <w:rFonts w:ascii="Times New Roman" w:cs="Times New Roman" w:eastAsia="Times New Roman" w:hAnsi="Times New Roman"/>
          <w:sz w:val="18"/>
          <w:szCs w:val="18"/>
          <w:color w:val="auto"/>
        </w:rPr>
        <w:t>Accumax®, BOG®, BUBBA®, Caldwell®, Deadshot®, Deathgrip®, Delta Series®, Don’t Be Outdoorsy – Be Outdoors®, E-MAX®, Engineered for the Unknown®, F.A.T. Wrench®, Fieldpod®, Frankford Arsenal®, Golden Rod®, Hooyman®, Imperial®, Intellidropper®, Lead Sled®, Lockdown®, Lockdown Puck®, Mag Charger®, MEAT! Your Maker®, Old Timer®, Schrade®, Sharpfinger®, Tipton®, Grilla®, Grilla Grills®, Uncle Henry®, Unmatched Accuracy at the Bench and in the Field®, ust®, Wheeler®, XLA Bipod®, Your Land. Your Legacy®, Crimson Trace®, Lasergrips®, Laserguard®, LaserLyte®, Lasersaddle®, Lightguard®, and Rail Master® are some of the registered U.S. trademarks of our company or one of our subsidiaries. AOB Products Company™, Dock and Unlock ™, From Niche to Known™, MEAT!™, Secure Your Lifestyle™, The Ultimate Lifestyle™, and Water to Plate™ are some of the unregistered trademarks of our company or one of our subsidiaries. Trademarks licensed to us by Smith &amp; Wesson Brands, Inc. in connection with the manufacture, distribution, marketing, advertising, promotion, merchandising, shipping, and sale of certain licensed accessory product categories include M&amp;P®, Performance Center®, and Smith &amp; Wesson®, among others.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ind w:firstLine="1134"/>
        <w:spacing w:after="0" w:line="254"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“suggests,” “targets,” “contemplates,” “projects,” “predicts,” “may,” “might,” “plan,”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following:</w:t>
      </w:r>
    </w:p>
    <w:p>
      <w:pPr>
        <w:spacing w:after="0" w:line="80" w:lineRule="exact"/>
        <w:rPr>
          <w:sz w:val="20"/>
          <w:szCs w:val="20"/>
          <w:color w:val="auto"/>
        </w:rPr>
      </w:pPr>
    </w:p>
    <w:p>
      <w:pPr>
        <w:ind w:left="2280" w:right="160" w:hanging="1138"/>
        <w:spacing w:after="0" w:line="257" w:lineRule="auto"/>
        <w:tabs>
          <w:tab w:leader="none" w:pos="2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the unrecognized compensation expense related to unvested restricted stock units, or RSUs, and performance-based restricted stock units, or PSUs, will be recognized over a weighted average remaining contractual term of 1.3 years;</w:t>
      </w:r>
    </w:p>
    <w:p>
      <w:pPr>
        <w:spacing w:after="0" w:line="1"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vigorously defend ourselves in the lawsuits to which we are subject;</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 unfavorable outcome of litigation or prolonged litigation could harm our business;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may not be indicative of our future performance;</w:t>
      </w:r>
    </w:p>
    <w:p>
      <w:pPr>
        <w:spacing w:after="0" w:line="9" w:lineRule="exact"/>
        <w:rPr>
          <w:rFonts w:ascii="Times New Roman" w:cs="Times New Roman" w:eastAsia="Times New Roman" w:hAnsi="Times New Roman"/>
          <w:sz w:val="18"/>
          <w:szCs w:val="18"/>
          <w:color w:val="auto"/>
        </w:rPr>
      </w:pPr>
    </w:p>
    <w:p>
      <w:pPr>
        <w:ind w:left="2280" w:right="100" w:hanging="1138"/>
        <w:spacing w:after="0" w:line="250" w:lineRule="auto"/>
        <w:tabs>
          <w:tab w:leader="none" w:pos="2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future ability to fund our operating needs will depend on our future ability to generate positive cash flow from operations and obtain financing on acceptable terms;</w:t>
      </w:r>
    </w:p>
    <w:p>
      <w:pPr>
        <w:ind w:left="2280" w:right="80" w:hanging="1138"/>
        <w:spacing w:after="0" w:line="265" w:lineRule="auto"/>
        <w:tabs>
          <w:tab w:leader="none" w:pos="22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 that we will meet known or reasonably likely future cash requirements through the combination of cash flows from operating activities, available cash balances, and available borrowings through our existing $75 million credit facility;</w:t>
      </w:r>
    </w:p>
    <w:p>
      <w:pPr>
        <w:ind w:left="2280" w:right="260" w:hanging="1138"/>
        <w:spacing w:after="0" w:line="250" w:lineRule="auto"/>
        <w:tabs>
          <w:tab w:leader="none" w:pos="2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our overall cost of debt funding may increase and decrease the overall debt capacity and commercial credit available to us;</w:t>
      </w:r>
    </w:p>
    <w:p>
      <w:pPr>
        <w:jc w:val="both"/>
        <w:ind w:left="2280" w:right="260" w:hanging="1138"/>
        <w:spacing w:after="0" w:line="265" w:lineRule="auto"/>
        <w:tabs>
          <w:tab w:leader="none" w:pos="22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requirements depend on many factors, including net sales, the timing and extent of spending to support product development efforts, the expansion of sales and marketing activities, the timing of introductions of new products and enhancements to existing products, and any acquisitions or strategic investments that we may determine to make;</w:t>
      </w:r>
    </w:p>
    <w:p>
      <w:pPr>
        <w:ind w:left="2280" w:right="40" w:hanging="1138"/>
        <w:spacing w:after="0" w:line="265" w:lineRule="auto"/>
        <w:tabs>
          <w:tab w:leader="none" w:pos="22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ability to take advantage of unexpected business opportunities or to respond to competitive pressures could be limited or severely constrained if sufficient funds are not available or are not available on acceptable terms;</w:t>
      </w:r>
    </w:p>
    <w:p>
      <w:pPr>
        <w:ind w:left="2280" w:right="160" w:hanging="1138"/>
        <w:spacing w:after="0" w:line="250" w:lineRule="auto"/>
        <w:tabs>
          <w:tab w:leader="none" w:pos="2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continue to utilize our cash flows to invest in our business, including research and development for new product initiatives; hire additional employees; fund growth strategies, including any potential acquisitions; repay any indebtedness we may incur over time; and repurchase our common stock if we have authorization to do so; and</w:t>
      </w:r>
    </w:p>
    <w:p>
      <w:pPr>
        <w:spacing w:after="0" w:line="1" w:lineRule="exact"/>
        <w:rPr>
          <w:rFonts w:ascii="Times New Roman" w:cs="Times New Roman" w:eastAsia="Times New Roman" w:hAnsi="Times New Roman"/>
          <w:sz w:val="18"/>
          <w:szCs w:val="18"/>
          <w:color w:val="auto"/>
        </w:rPr>
      </w:pPr>
    </w:p>
    <w:p>
      <w:pPr>
        <w:ind w:left="2280" w:right="120" w:hanging="1138"/>
        <w:spacing w:after="0" w:line="260" w:lineRule="auto"/>
        <w:tabs>
          <w:tab w:leader="none" w:pos="2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increased demand for sourced products in various industries and other transportation disturbances could cause delays at various U.S. ports, which could delay the timing of receipt or cost of our products.</w:t>
      </w:r>
    </w:p>
    <w:p>
      <w:pPr>
        <w:spacing w:after="0" w:line="181" w:lineRule="exact"/>
        <w:rPr>
          <w:sz w:val="20"/>
          <w:szCs w:val="20"/>
          <w:color w:val="auto"/>
        </w:rPr>
      </w:pPr>
    </w:p>
    <w:p>
      <w:pPr>
        <w:ind w:right="60" w:firstLine="1134"/>
        <w:spacing w:after="0" w:line="282" w:lineRule="auto"/>
        <w:rPr>
          <w:sz w:val="20"/>
          <w:szCs w:val="20"/>
          <w:color w:val="auto"/>
        </w:rPr>
      </w:pPr>
      <w:r>
        <w:rPr>
          <w:rFonts w:ascii="Times New Roman" w:cs="Times New Roman" w:eastAsia="Times New Roman" w:hAnsi="Times New Roman"/>
          <w:sz w:val="18"/>
          <w:szCs w:val="18"/>
          <w:color w:val="auto"/>
        </w:rPr>
        <w:t>A number of factors could cause our actual results to differ materially from those indicated by the forward-looking statements. Such factors include, among others, the following:</w:t>
      </w:r>
    </w:p>
    <w:p>
      <w:pPr>
        <w:spacing w:after="0" w:line="54" w:lineRule="exact"/>
        <w:rPr>
          <w:sz w:val="20"/>
          <w:szCs w:val="20"/>
          <w:color w:val="auto"/>
        </w:rPr>
      </w:pPr>
    </w:p>
    <w:p>
      <w:pPr>
        <w:ind w:left="2280" w:right="40" w:hanging="1138"/>
        <w:spacing w:after="0" w:line="257" w:lineRule="auto"/>
        <w:tabs>
          <w:tab w:leader="none" w:pos="2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in our suppliers’ ability to source the raw materials necessary for the production of our products, disruptions and delays in the manufacture of our products, and difficulties encountered by retailers and other components of the distribution channel for our products;</w:t>
      </w:r>
    </w:p>
    <w:p>
      <w:pPr>
        <w:spacing w:after="0" w:line="1"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in general and specific to our products or product categories;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are successful in the marketplace;</w:t>
      </w:r>
    </w:p>
    <w:p>
      <w:pPr>
        <w:spacing w:after="0" w:line="9" w:lineRule="exact"/>
        <w:rPr>
          <w:rFonts w:ascii="Times New Roman" w:cs="Times New Roman" w:eastAsia="Times New Roman" w:hAnsi="Times New Roman"/>
          <w:sz w:val="18"/>
          <w:szCs w:val="18"/>
          <w:color w:val="auto"/>
        </w:rPr>
      </w:pPr>
    </w:p>
    <w:p>
      <w:pPr>
        <w:ind w:left="2280" w:right="180" w:hanging="1138"/>
        <w:spacing w:after="0" w:line="250" w:lineRule="auto"/>
        <w:tabs>
          <w:tab w:leader="none" w:pos="2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of our arrangements with third-party contract manufacturers and freight carriers that disrupt our ability to fill our customers’ orders;</w:t>
      </w:r>
    </w:p>
    <w:p>
      <w:pPr>
        <w:ind w:left="2280" w:hanging="1138"/>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or decreases in availability of finished products, components, and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80" w:right="800" w:hanging="1138"/>
        <w:spacing w:after="0" w:line="261" w:lineRule="auto"/>
        <w:tabs>
          <w:tab w:leader="none" w:pos="2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increased tariffs on our products, including additional tariffs that may be imposed by the current presidential administration;</w:t>
      </w: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our brand recognition and reputation;</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demand for our products accurately;</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e-commerce business;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market;</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large customers;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by our customers;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our accounts receivable;</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product recalls, product liability, and other claims or lawsuits against us;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both internally and in the distribution channel, in excess of demand;</w:t>
      </w:r>
    </w:p>
    <w:p>
      <w:pPr>
        <w:spacing w:after="0" w:line="9" w:lineRule="exact"/>
        <w:rPr>
          <w:rFonts w:ascii="Times New Roman" w:cs="Times New Roman" w:eastAsia="Times New Roman" w:hAnsi="Times New Roman"/>
          <w:sz w:val="18"/>
          <w:szCs w:val="18"/>
          <w:color w:val="auto"/>
        </w:rPr>
      </w:pPr>
    </w:p>
    <w:p>
      <w:pPr>
        <w:ind w:left="2280" w:right="480" w:hanging="1138"/>
        <w:spacing w:after="0" w:line="250" w:lineRule="auto"/>
        <w:tabs>
          <w:tab w:leader="none" w:pos="2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acquisition candidates, to complete acquisitions of potential acquisition candidates, to integrate acquired businesses with our business, to achieve success with acquired companies, and to realize the benefits of acquisitions in a manner consistent with our expectations;</w:t>
      </w:r>
    </w:p>
    <w:p>
      <w:pPr>
        <w:spacing w:after="0" w:line="1"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security of our information systems;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any applicable foreign laws or regulations and the effect of any increased protective tariffs;</w:t>
      </w:r>
    </w:p>
    <w:p>
      <w:pPr>
        <w:spacing w:after="0" w:line="9" w:lineRule="exact"/>
        <w:rPr>
          <w:rFonts w:ascii="Times New Roman" w:cs="Times New Roman" w:eastAsia="Times New Roman" w:hAnsi="Times New Roman"/>
          <w:sz w:val="18"/>
          <w:szCs w:val="18"/>
          <w:color w:val="auto"/>
        </w:rPr>
      </w:pPr>
    </w:p>
    <w:p>
      <w:pPr>
        <w:ind w:left="2280" w:right="140" w:hanging="1138"/>
        <w:spacing w:after="0" w:line="250" w:lineRule="auto"/>
        <w:tabs>
          <w:tab w:leader="none" w:pos="2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political, legislative, and regulatory factors, such as the impact from changing economic policies, tariffs and supply chain constraints;</w:t>
      </w: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increased regulation of firearms and firearms-related products;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for capital expenditures, liquidity, and anticipated cash needs and availability;</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impairment charges;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amortization expense of intangible assets for future periods;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social or economic activists that could, directly or indirectly, have an adverse effect on our business;</w:t>
      </w:r>
    </w:p>
    <w:p>
      <w:pPr>
        <w:spacing w:after="0" w:line="9"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social unrest, including related protests or disturbances;</w:t>
      </w:r>
    </w:p>
    <w:p>
      <w:pPr>
        <w:spacing w:after="0" w:line="9" w:lineRule="exact"/>
        <w:rPr>
          <w:rFonts w:ascii="Times New Roman" w:cs="Times New Roman" w:eastAsia="Times New Roman" w:hAnsi="Times New Roman"/>
          <w:sz w:val="18"/>
          <w:szCs w:val="18"/>
          <w:color w:val="auto"/>
        </w:rPr>
      </w:pPr>
    </w:p>
    <w:p>
      <w:pPr>
        <w:ind w:left="2280" w:right="160" w:hanging="1138"/>
        <w:spacing w:after="0" w:line="250" w:lineRule="auto"/>
        <w:tabs>
          <w:tab w:leader="none" w:pos="2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factors relating to the valuation of assets acquired and liabilities assumed in acquisitions, the timing for such evaluations, and the potential adjustment in such evaluations; and</w:t>
      </w:r>
    </w:p>
    <w:p>
      <w:pPr>
        <w:ind w:left="2280" w:right="360" w:hanging="1138"/>
        <w:spacing w:after="0" w:line="260" w:lineRule="auto"/>
        <w:tabs>
          <w:tab w:leader="none" w:pos="2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from time to time in our reports filed with the Securities and Exchange Commission, or the SEC, including information contained herein.</w:t>
      </w:r>
    </w:p>
    <w:p>
      <w:pPr>
        <w:spacing w:after="0" w:line="181" w:lineRule="exact"/>
        <w:rPr>
          <w:sz w:val="20"/>
          <w:szCs w:val="20"/>
          <w:color w:val="auto"/>
        </w:rPr>
      </w:pPr>
    </w:p>
    <w:p>
      <w:pPr>
        <w:ind w:firstLine="1134"/>
        <w:spacing w:after="0" w:line="255" w:lineRule="auto"/>
        <w:rPr>
          <w:sz w:val="20"/>
          <w:szCs w:val="20"/>
          <w:color w:val="auto"/>
        </w:rPr>
      </w:pPr>
      <w:r>
        <w:rPr>
          <w:rFonts w:ascii="Times New Roman" w:cs="Times New Roman" w:eastAsia="Times New Roman" w:hAnsi="Times New Roman"/>
          <w:sz w:val="18"/>
          <w:szCs w:val="18"/>
          <w:color w:val="auto"/>
        </w:rPr>
        <w:t>All forward-looking statements included herein, or in our Annual Report on Form 10-K, are based on information available to us as of their respective dates and speak only as of such dates. Except as required by law, we undertake no obligation to update any forward-looking statements to reflect events or circumstances after the date of such statements. The forward-looking statements contained in or incorporated by reference into this Quarterly Report on Form 10-Q, or in our Annual Report on Form 10-K, reflect our views as of the date of these reports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w:t>
      </w:r>
    </w:p>
    <w:p>
      <w:pPr>
        <w:spacing w:after="0" w:line="189" w:lineRule="exact"/>
        <w:rPr>
          <w:sz w:val="20"/>
          <w:szCs w:val="20"/>
          <w:color w:val="auto"/>
        </w:rPr>
      </w:pPr>
    </w:p>
    <w:p>
      <w:pPr>
        <w:ind w:right="180" w:firstLine="1134"/>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we file or furnish reports, proxy statements, and other information with the SEC. Such reports and other information we file with the SEC are available free of charge at https://ir.aob.com/financial-information/sec-filings as soon as practicable after such reports are available on the SEC’s website at sec.gov. The SEC’s website contains reports, proxy and information statements, and other information regarding issuers that file electronically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20" w:type="dxa"/>
            <w:vAlign w:val="bottom"/>
          </w:tcPr>
          <w:p>
            <w:pPr>
              <w:spacing w:after="0"/>
              <w:rPr>
                <w:sz w:val="14"/>
                <w:szCs w:val="14"/>
                <w:color w:val="auto"/>
              </w:rPr>
            </w:pPr>
          </w:p>
        </w:tc>
        <w:tc>
          <w:tcPr>
            <w:tcW w:w="12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0" w:type="dxa"/>
            <w:vAlign w:val="bottom"/>
          </w:tcPr>
          <w:p>
            <w:pPr>
              <w:spacing w:after="0"/>
              <w:rPr>
                <w:sz w:val="1"/>
                <w:szCs w:val="1"/>
                <w:color w:val="auto"/>
              </w:rPr>
            </w:pPr>
          </w:p>
        </w:tc>
      </w:tr>
      <w:tr>
        <w:trPr>
          <w:trHeight w:val="96"/>
        </w:trPr>
        <w:tc>
          <w:tcPr>
            <w:tcW w:w="8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$434 on October 31, 2025 and $159 on April 30,</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240,921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246,355</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ind w:left="44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4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31,949</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20,000,000 shares authorized, no shares issued or outstanding on</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October 31, 2025 and April 30, 2025</w:t>
            </w: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15,221,472 shares issued and 12,629,235</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outstanding on October 31, 2025 and 14,974,217 shares issued and 12,696,356 shares outstanding on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30, 2025</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281,438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280,711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deficit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Treasury stock, at cost (2,592,237 shares on October 31, 2025 and 2,277,861 shares on April 30, 2025)</w:t>
            </w: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(31,602)</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0" w:type="dxa"/>
            <w:vAlign w:val="bottom"/>
          </w:tcPr>
          <w:p>
            <w:pPr>
              <w:spacing w:after="0"/>
              <w:rPr>
                <w:sz w:val="1"/>
                <w:szCs w:val="1"/>
                <w:color w:val="auto"/>
              </w:rPr>
            </w:pPr>
          </w:p>
        </w:tc>
      </w:tr>
      <w:tr>
        <w:trPr>
          <w:trHeight w:val="23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177,610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240,921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246,355</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-4754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240" w:type="dxa"/>
            <w:vAlign w:val="bottom"/>
          </w:tcPr>
          <w:p>
            <w:pPr>
              <w:spacing w:after="0"/>
              <w:rPr>
                <w:sz w:val="16"/>
                <w:szCs w:val="16"/>
                <w:color w:val="auto"/>
              </w:rPr>
            </w:pPr>
          </w:p>
        </w:tc>
        <w:tc>
          <w:tcPr>
            <w:tcW w:w="282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86,901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101,875</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26,097</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39,956</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0" w:type="dxa"/>
            <w:vAlign w:val="bottom"/>
          </w:tcPr>
          <w:p>
            <w:pPr>
              <w:spacing w:after="0"/>
              <w:rPr>
                <w:sz w:val="1"/>
                <w:szCs w:val="1"/>
                <w:color w:val="auto"/>
              </w:rPr>
            </w:pPr>
          </w:p>
        </w:tc>
      </w:tr>
      <w:tr>
        <w:trPr>
          <w:trHeight w:val="23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25,837</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47,335</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income/(loss)</w:t>
            </w:r>
          </w:p>
        </w:tc>
        <w:tc>
          <w:tcPr>
            <w:tcW w:w="8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8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Income/(loss) from operations before income taxes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88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income/(loss) per share:</w:t>
            </w:r>
          </w:p>
        </w:tc>
        <w:tc>
          <w:tcPr>
            <w:tcW w:w="8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-2485390</wp:posOffset>
            </wp:positionV>
            <wp:extent cx="60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-3531235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60" w:type="dxa"/>
            <w:vAlign w:val="bottom"/>
          </w:tcPr>
          <w:p>
            <w:pPr>
              <w:spacing w:after="0"/>
              <w:rPr>
                <w:sz w:val="14"/>
                <w:szCs w:val="14"/>
                <w:color w:val="auto"/>
              </w:rPr>
            </w:pPr>
          </w:p>
        </w:tc>
        <w:tc>
          <w:tcPr>
            <w:tcW w:w="1880" w:type="dxa"/>
            <w:vAlign w:val="bottom"/>
            <w:gridSpan w:val="3"/>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2025 and 2024</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80"/>
        </w:trPr>
        <w:tc>
          <w:tcPr>
            <w:tcW w:w="3560" w:type="dxa"/>
            <w:vAlign w:val="bottom"/>
            <w:vMerge w:val="continue"/>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82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356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July 31,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14,820</w:t>
            </w: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277,642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(76,988)</w:t>
            </w: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(24,955)</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175,714</w:t>
            </w: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3,111</w:t>
            </w:r>
          </w:p>
        </w:tc>
        <w:tc>
          <w:tcPr>
            <w:tcW w:w="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0" w:type="dxa"/>
            <w:vAlign w:val="bottom"/>
          </w:tcPr>
          <w:p>
            <w:pPr>
              <w:spacing w:after="0"/>
              <w:rPr>
                <w:sz w:val="1"/>
                <w:szCs w:val="1"/>
                <w:color w:val="auto"/>
              </w:rPr>
            </w:pPr>
          </w:p>
        </w:tc>
      </w:tr>
      <w:tr>
        <w:trPr>
          <w:trHeight w:val="25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under employee stock</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2"/>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 stock unit</w:t>
            </w: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awards,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62"/>
        </w:trPr>
        <w:tc>
          <w:tcPr>
            <w:tcW w:w="3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14,890</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278,677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(73,877)</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(25,961)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178,854</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July 31,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15,171</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280,292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(81,529)</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(30,940)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167,838</w:t>
            </w: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2,075</w:t>
            </w:r>
          </w:p>
        </w:tc>
        <w:tc>
          <w:tcPr>
            <w:tcW w:w="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0" w:type="dxa"/>
            <w:vAlign w:val="bottom"/>
          </w:tcPr>
          <w:p>
            <w:pPr>
              <w:spacing w:after="0"/>
              <w:rPr>
                <w:sz w:val="1"/>
                <w:szCs w:val="1"/>
                <w:color w:val="auto"/>
              </w:rPr>
            </w:pPr>
          </w:p>
        </w:tc>
      </w:tr>
      <w:tr>
        <w:trPr>
          <w:trHeight w:val="25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under employee stock</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2"/>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 stock unit</w:t>
            </w: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awards,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262"/>
        </w:trPr>
        <w:tc>
          <w:tcPr>
            <w:tcW w:w="3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2025</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15,222</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281,438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(79,454)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(31,602)</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170,397</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3560" w:type="dxa"/>
            <w:vAlign w:val="bottom"/>
          </w:tcPr>
          <w:p>
            <w:pPr>
              <w:spacing w:after="0"/>
              <w:rPr>
                <w:sz w:val="24"/>
                <w:szCs w:val="24"/>
                <w:color w:val="auto"/>
              </w:rPr>
            </w:pPr>
          </w:p>
        </w:tc>
        <w:tc>
          <w:tcPr>
            <w:tcW w:w="1880" w:type="dxa"/>
            <w:vAlign w:val="bottom"/>
            <w:gridSpan w:val="3"/>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141"/>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 2025 and 2024</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8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356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277,107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(74,623)</w:t>
            </w: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(24,574)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177,925</w:t>
            </w: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5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2"/>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 stock unit</w:t>
            </w: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awards,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61"/>
        </w:trPr>
        <w:tc>
          <w:tcPr>
            <w:tcW w:w="3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14,890</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278,677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(73,877)</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(25,961)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178,854</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14,974</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280,711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(74,700)</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177,610</w:t>
            </w: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0" w:type="dxa"/>
            <w:vAlign w:val="bottom"/>
          </w:tcPr>
          <w:p>
            <w:pPr>
              <w:spacing w:after="0"/>
              <w:rPr>
                <w:sz w:val="1"/>
                <w:szCs w:val="1"/>
                <w:color w:val="auto"/>
              </w:rPr>
            </w:pPr>
          </w:p>
        </w:tc>
      </w:tr>
      <w:tr>
        <w:trPr>
          <w:trHeight w:val="25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2"/>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 stock unit</w:t>
            </w: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awards,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62"/>
        </w:trPr>
        <w:tc>
          <w:tcPr>
            <w:tcW w:w="3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2025</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15,222</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281,438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(79,454)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(31,602)</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170,397</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-3325495</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-3325495</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-3325495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-3488055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-3488055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-3488055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-4859655</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-4859655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-4859655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-5022850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-5022850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-5022850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-6214110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-6214110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-6214110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-33655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-33655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-33655</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-196215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-196215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-196215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-1439545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-1439545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-1439545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-1602105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-1602105</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-1602105</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-2665095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-2665095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-2665095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r>
      <w:tr>
        <w:trPr>
          <w:trHeight w:val="37"/>
        </w:trPr>
        <w:tc>
          <w:tcPr>
            <w:tcW w:w="8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(In thousands)</w:t>
            </w:r>
          </w:p>
        </w:tc>
        <w:tc>
          <w:tcPr>
            <w:tcW w:w="100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(loss)/income to net cash used in operating activities:</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credit losses on accounts receivable</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r>
      <w:tr>
        <w:trPr>
          <w:trHeight w:val="24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(18,251)</w:t>
            </w:r>
          </w:p>
        </w:tc>
      </w:tr>
      <w:tr>
        <w:trPr>
          <w:trHeight w:val="24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4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Right of use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4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7"/>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(12,287)</w:t>
            </w:r>
          </w:p>
        </w:tc>
      </w:tr>
      <w:tr>
        <w:trPr>
          <w:trHeight w:val="27"/>
        </w:trPr>
        <w:tc>
          <w:tcPr>
            <w:tcW w:w="81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7"/>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7"/>
        </w:trPr>
        <w:tc>
          <w:tcPr>
            <w:tcW w:w="81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notes and loans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on notes and loans payable</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 to acquire common stock, including employee stock purchase plan</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 stock units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81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(15,475)</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29,698</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14,223</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American Outdoor Brands, Inc. and its wholly owned Subsidiaries (our "company," "we," "us," or "our") is a leading provider of outdoor lifestyle products and shooting sports accessories encompassing hunting, fishing, meat processing, outdoor cooking, camping, shooting, and personal security and defense products for rugged outdoor enthusiasts. We conceive, design, source, and sell our outdoor lifestyle products, including premium sportsman knives and tools for fishing and hunting; land management tools for hunting preparedness; products used while hunting; meat processing equipment; outdoor cooking products; and camping, survival, and emergency preparedness products. We conceive, design, produce or source, and sell our shooting sports accessories, such as rests, vaults, and other related accessories; electro-optical devices, including hunting optics, firearm aiming devices, flashlights, and laser grips; and reloading, gunsmithing, and firearm cleaning supplies. We develop and market all our products as well as manufacture some of our electro-optics products at our facility in Columbia, Missouri. We also contract for the manufacture and assembly of most of our products with third parties located in Asia.</w:t>
      </w:r>
    </w:p>
    <w:p>
      <w:pPr>
        <w:spacing w:after="0" w:line="80" w:lineRule="exact"/>
        <w:rPr>
          <w:sz w:val="20"/>
          <w:szCs w:val="20"/>
          <w:color w:val="auto"/>
        </w:rPr>
      </w:pPr>
    </w:p>
    <w:p>
      <w:pPr>
        <w:ind w:right="20" w:firstLine="1134"/>
        <w:spacing w:after="0" w:line="255" w:lineRule="auto"/>
        <w:rPr>
          <w:sz w:val="20"/>
          <w:szCs w:val="20"/>
          <w:color w:val="auto"/>
        </w:rPr>
      </w:pPr>
      <w:r>
        <w:rPr>
          <w:rFonts w:ascii="Times New Roman" w:cs="Times New Roman" w:eastAsia="Times New Roman" w:hAnsi="Times New Roman"/>
          <w:sz w:val="18"/>
          <w:szCs w:val="18"/>
          <w:color w:val="auto"/>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BOG, BUBBA, Caldwell, Crimson Trace, Frankford Arsenal, Grilla Grills, or Grilla, Hooyman, Imperial, LaserLyte, Lockdown, MEAT! Your Maker, Old Timer, Schrade, Tipton, Uncle Henry, ust, and Wheeler, and we license additional brands for use in association with certain products we sell, including M&amp;P, Smith &amp; Wesson, and Performance Center by Smith &amp; Wesson. In focusing on the growth of our brands, we organize our product development, customer service, and marketing teams into four brand lanes, each of which focuses on one of four distinct consumer verticals – Adventurer, Harvester, Marksman, and Defender – with each of our brands included in one of the brand lanes.</w:t>
      </w:r>
    </w:p>
    <w:p>
      <w:pPr>
        <w:spacing w:after="0" w:line="81" w:lineRule="exact"/>
        <w:rPr>
          <w:sz w:val="20"/>
          <w:szCs w:val="20"/>
          <w:color w:val="auto"/>
        </w:rPr>
      </w:pPr>
    </w:p>
    <w:p>
      <w:pPr>
        <w:ind w:left="2020" w:hanging="1121"/>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Adventurer brands include products that help enhance consumers’ fishing, outdoor cooking, and camping experiences.</w:t>
      </w:r>
    </w:p>
    <w:p>
      <w:pPr>
        <w:spacing w:after="0" w:line="117" w:lineRule="exact"/>
        <w:rPr>
          <w:rFonts w:ascii="Times New Roman" w:cs="Times New Roman" w:eastAsia="Times New Roman" w:hAnsi="Times New Roman"/>
          <w:sz w:val="18"/>
          <w:szCs w:val="18"/>
          <w:color w:val="auto"/>
        </w:rPr>
      </w:pPr>
    </w:p>
    <w:p>
      <w:pPr>
        <w:ind w:left="2040" w:right="340" w:hanging="1141"/>
        <w:spacing w:after="0" w:line="282" w:lineRule="auto"/>
        <w:tabs>
          <w:tab w:leader="none" w:pos="20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Harvester brands focus on the activities hunters typically engage in, including the activities to prepare for the hunt, the hunt itself, and the activities that follow a hunt, such as meat processing.</w:t>
      </w:r>
    </w:p>
    <w:p>
      <w:pPr>
        <w:spacing w:after="0" w:line="53" w:lineRule="exact"/>
        <w:rPr>
          <w:rFonts w:ascii="Times New Roman" w:cs="Times New Roman" w:eastAsia="Times New Roman" w:hAnsi="Times New Roman"/>
          <w:sz w:val="18"/>
          <w:szCs w:val="18"/>
          <w:color w:val="auto"/>
        </w:rPr>
      </w:pPr>
    </w:p>
    <w:p>
      <w:pPr>
        <w:ind w:left="2040" w:right="220" w:hanging="1141"/>
        <w:spacing w:after="0" w:line="282" w:lineRule="auto"/>
        <w:tabs>
          <w:tab w:leader="none" w:pos="20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Marksman brands address product needs arising from consumer activities that take place primarily at the shooting range and where firearms are cleaned, maintained, and worked on.</w:t>
      </w:r>
    </w:p>
    <w:p>
      <w:pPr>
        <w:spacing w:after="0" w:line="53" w:lineRule="exact"/>
        <w:rPr>
          <w:rFonts w:ascii="Times New Roman" w:cs="Times New Roman" w:eastAsia="Times New Roman" w:hAnsi="Times New Roman"/>
          <w:sz w:val="18"/>
          <w:szCs w:val="18"/>
          <w:color w:val="auto"/>
        </w:rPr>
      </w:pPr>
    </w:p>
    <w:p>
      <w:pPr>
        <w:ind w:left="2040" w:hanging="1141"/>
        <w:spacing w:after="0" w:line="282" w:lineRule="auto"/>
        <w:tabs>
          <w:tab w:leader="none" w:pos="20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Defender brands focus on protection and include products that are used by consumers in situations that require self-defense for training and for securing high value or high consequence possessions.</w:t>
      </w:r>
    </w:p>
    <w:p>
      <w:pPr>
        <w:spacing w:after="0" w:line="26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Interim Financial Information</w:t>
      </w:r>
    </w:p>
    <w:p>
      <w:pPr>
        <w:spacing w:after="0" w:line="119" w:lineRule="exact"/>
        <w:rPr>
          <w:sz w:val="20"/>
          <w:szCs w:val="20"/>
          <w:color w:val="auto"/>
        </w:rPr>
      </w:pPr>
    </w:p>
    <w:p>
      <w:pPr>
        <w:ind w:right="60" w:firstLine="1134"/>
        <w:spacing w:after="0" w:line="254"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the requirements of the SEC for interim reporting. As permitted under those rules, certain disclosures and other financial information that normally are required by accounting principles generally accepted in the United States ("GAAP") have been condensed or omitted. Our accounting policies are described in the Notes to the Consolidated Financial Statements in our Annual Report on Form 10-K for our fiscal year ended April 30, 2025. We are responsible for the condensed consolidated financial statements included in this report, which are unaudited but, in our opinion, include all adjustments necessary for a fair presentation of our condensed consolidated balance sheet as of October 31, 2025, our condensed consolidated statement of operations for the three and six months ended October 31, 2025 and 2024, and our condensed consolidated statement of cash flows for the six months ended October 31, 2025 and 2024. The consolidated balance sheet as of April 30, 2025 was derived from audited financial statements.</w:t>
      </w:r>
    </w:p>
    <w:p>
      <w:pPr>
        <w:spacing w:after="0" w:line="192" w:lineRule="exact"/>
        <w:rPr>
          <w:sz w:val="20"/>
          <w:szCs w:val="20"/>
          <w:color w:val="auto"/>
        </w:rPr>
      </w:pPr>
    </w:p>
    <w:p>
      <w:pPr>
        <w:ind w:right="180" w:firstLine="1134"/>
        <w:spacing w:after="0" w:line="282" w:lineRule="auto"/>
        <w:rPr>
          <w:sz w:val="20"/>
          <w:szCs w:val="20"/>
          <w:color w:val="auto"/>
        </w:rPr>
      </w:pPr>
      <w:r>
        <w:rPr>
          <w:rFonts w:ascii="Times New Roman" w:cs="Times New Roman" w:eastAsia="Times New Roman" w:hAnsi="Times New Roman"/>
          <w:sz w:val="18"/>
          <w:szCs w:val="18"/>
          <w:color w:val="auto"/>
        </w:rPr>
        <w:t>The results reported in these condensed consolidated financial statements should not necessarily be taken as indicative of results that may be expected for the entire fiscal year.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80" w:firstLine="1134"/>
        <w:spacing w:after="0" w:line="255" w:lineRule="auto"/>
        <w:rPr>
          <w:sz w:val="20"/>
          <w:szCs w:val="20"/>
          <w:color w:val="auto"/>
        </w:rPr>
      </w:pPr>
      <w:r>
        <w:rPr>
          <w:rFonts w:ascii="Times New Roman" w:cs="Times New Roman" w:eastAsia="Times New Roman" w:hAnsi="Times New Roman"/>
          <w:sz w:val="18"/>
          <w:szCs w:val="18"/>
          <w:color w:val="auto"/>
        </w:rPr>
        <w:t>We recognize revenue for the sale of our products at the point in time when the control of ownership has transferred to the customer. The transfer of control typically occurs at a point in time based on consideration of when the customer has (i) a payment obligation, (ii) physical possession of goods has been received, (iii) legal title to goods has passed, (iv) risks and rewards of ownership of goods has passed to the customer, and (v) the customer has accepted the goods. The timing of revenue recognition occurs either on shipment or delivery of goods based on contractual terms with the customer, as this is when transfer of control occurs and the customer accepts the product, has title and significant risks and rewards of ownership of the product, and physical possession of the product has been transferred. Revenue recorded excludes sales tax charged to retail customers as we are considered a pass-through conduit for collecting and remitting sales taxes.</w:t>
      </w:r>
    </w:p>
    <w:p>
      <w:pPr>
        <w:spacing w:after="0" w:line="189" w:lineRule="exact"/>
        <w:rPr>
          <w:sz w:val="20"/>
          <w:szCs w:val="20"/>
          <w:color w:val="auto"/>
        </w:rPr>
      </w:pPr>
    </w:p>
    <w:p>
      <w:pPr>
        <w:ind w:right="140" w:firstLine="1134"/>
        <w:spacing w:after="0" w:line="255" w:lineRule="auto"/>
        <w:rPr>
          <w:sz w:val="20"/>
          <w:szCs w:val="20"/>
          <w:color w:val="auto"/>
        </w:rPr>
      </w:pPr>
      <w:r>
        <w:rPr>
          <w:rFonts w:ascii="Times New Roman" w:cs="Times New Roman" w:eastAsia="Times New Roman" w:hAnsi="Times New Roman"/>
          <w:sz w:val="18"/>
          <w:szCs w:val="18"/>
          <w:color w:val="auto"/>
        </w:rPr>
        <w:t>The duration of contractual arrangements with customers in our wholesale channels is typically less than one year. Payment terms with customers are typically between 20 and 90 days, with a discount available in certain cases for early payment. For contracts with discounted terms, we determine the transaction price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w:t>
      </w:r>
    </w:p>
    <w:p>
      <w:pPr>
        <w:spacing w:after="0" w:line="189" w:lineRule="exact"/>
        <w:rPr>
          <w:sz w:val="20"/>
          <w:szCs w:val="20"/>
          <w:color w:val="auto"/>
        </w:rPr>
      </w:pPr>
    </w:p>
    <w:p>
      <w:pPr>
        <w:ind w:right="100" w:firstLine="1134"/>
        <w:spacing w:after="0" w:line="282" w:lineRule="auto"/>
        <w:rPr>
          <w:sz w:val="20"/>
          <w:szCs w:val="20"/>
          <w:color w:val="auto"/>
        </w:rPr>
      </w:pPr>
      <w:r>
        <w:rPr>
          <w:rFonts w:ascii="Times New Roman" w:cs="Times New Roman" w:eastAsia="Times New Roman" w:hAnsi="Times New Roman"/>
          <w:sz w:val="18"/>
          <w:szCs w:val="18"/>
          <w:color w:val="auto"/>
        </w:rPr>
        <w:t>We have elected to treat all shipping and handling activities as fulfillment costs and recognize the costs as distribution expenses at the time we recognize the related revenue. Shipping and handling costs billed to customers are included in net sales.</w:t>
      </w:r>
    </w:p>
    <w:p>
      <w:pPr>
        <w:spacing w:after="0" w:line="162" w:lineRule="exact"/>
        <w:rPr>
          <w:sz w:val="20"/>
          <w:szCs w:val="20"/>
          <w:color w:val="auto"/>
        </w:rPr>
      </w:pPr>
    </w:p>
    <w:p>
      <w:pPr>
        <w:ind w:right="480" w:firstLine="1134"/>
        <w:spacing w:after="0" w:line="282" w:lineRule="auto"/>
        <w:rPr>
          <w:sz w:val="20"/>
          <w:szCs w:val="20"/>
          <w:color w:val="auto"/>
        </w:rPr>
      </w:pPr>
      <w:r>
        <w:rPr>
          <w:rFonts w:ascii="Times New Roman" w:cs="Times New Roman" w:eastAsia="Times New Roman" w:hAnsi="Times New Roman"/>
          <w:sz w:val="18"/>
          <w:szCs w:val="18"/>
          <w:color w:val="auto"/>
        </w:rPr>
        <w:t>We sponsor direct-to-consumer customer loyalty programs. Customers earn rewards from qualifying purchases or activities. We defer revenue for a portion of the transaction price from product sales to customers that earn loyalty points.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amount of revenue we recognize reflects the expected consideration to be received for providing the goods or services to customers, which includes estimates for variable consideration. Variable consideration includes allowances for trade term discounts, volume incentives, chargebacks, and product returns. Estimates of variable consideration are determined at contract inception and are constrained to the extent that the inclusion of such variable consideration could result in a significant reversal of cumulative revenue in future periods. We apply the portfolio approach as a practical expedient and utilize the expected value method in determining estimates of variable consideration, based on evaluations of specific product and customer circumstances, historical and anticipated trends, and current economic conditions. We have co-op advertising program expense, which we record within advertising expense, in recognition of a distinct service that we receive from our customers at the retail level.</w:t>
      </w:r>
    </w:p>
    <w:p>
      <w:pPr>
        <w:spacing w:after="0" w:line="2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right="16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three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e-commerce channel net sales</w:t>
            </w:r>
          </w:p>
        </w:tc>
        <w:tc>
          <w:tcPr>
            <w:tcW w:w="880" w:type="dxa"/>
            <w:vAlign w:val="bottom"/>
            <w:tcBorders>
              <w:bottom w:val="single" w:sz="8" w:color="CFF0FC"/>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20,422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Traditional channel net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36,777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9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57,199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9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-179070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-179070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-530860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-530860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-530860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right="160" w:firstLine="1134"/>
        <w:spacing w:after="0" w:line="266" w:lineRule="auto"/>
        <w:rPr>
          <w:sz w:val="20"/>
          <w:szCs w:val="20"/>
          <w:color w:val="auto"/>
        </w:rPr>
      </w:pPr>
      <w:r>
        <w:rPr>
          <w:rFonts w:ascii="Times New Roman" w:cs="Times New Roman" w:eastAsia="Times New Roman" w:hAnsi="Times New Roman"/>
          <w:sz w:val="18"/>
          <w:szCs w:val="18"/>
          <w:color w:val="auto"/>
        </w:rPr>
        <w:t>Our e-commerce channel include net sales from customers that do not traditionally operate a physical brick-and-mortar store, but generate the majority of their revenue from consumer purchases at their retail websites. Our e-commerce channel also include our direct-to-consumer sales. Our traditional channel include customers that operate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primarily out of physical brick and mortar stores and generate the large majority of their revenue from consumer purchases at their brick-and-mortar locations.</w:t>
      </w:r>
    </w:p>
    <w:p>
      <w:pPr>
        <w:spacing w:after="0" w:line="162" w:lineRule="exact"/>
        <w:rPr>
          <w:sz w:val="20"/>
          <w:szCs w:val="20"/>
          <w:color w:val="auto"/>
        </w:rPr>
      </w:pPr>
    </w:p>
    <w:p>
      <w:pPr>
        <w:ind w:right="180" w:firstLine="1134"/>
        <w:spacing w:after="0" w:line="282" w:lineRule="auto"/>
        <w:rPr>
          <w:sz w:val="20"/>
          <w:szCs w:val="20"/>
          <w:color w:val="auto"/>
        </w:rPr>
      </w:pPr>
      <w:r>
        <w:rPr>
          <w:rFonts w:ascii="Times New Roman" w:cs="Times New Roman" w:eastAsia="Times New Roman" w:hAnsi="Times New Roman"/>
          <w:sz w:val="18"/>
          <w:szCs w:val="18"/>
          <w:color w:val="auto"/>
        </w:rPr>
        <w:t>We sell our products worldwide. The following table sets forth certain information regarding geographic makeup of net sales for the three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net sales</w:t>
            </w:r>
          </w:p>
        </w:tc>
        <w:tc>
          <w:tcPr>
            <w:tcW w:w="880" w:type="dxa"/>
            <w:vAlign w:val="bottom"/>
            <w:tcBorders>
              <w:bottom w:val="single" w:sz="8" w:color="CFF0FC"/>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54,398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56,847</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49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57,199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9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-179070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-179070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-530860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-530860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right="30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in our shooting sports and outdoor lifestyle categories for the three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4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Shooting sports net sales</w:t>
            </w: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22,591</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lifestyle net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34,608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94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57,199</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9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-179705</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-179705</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-530860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-530860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9" w:lineRule="exact"/>
        <w:rPr>
          <w:sz w:val="20"/>
          <w:szCs w:val="20"/>
          <w:color w:val="auto"/>
        </w:rPr>
      </w:pPr>
    </w:p>
    <w:p>
      <w:pPr>
        <w:ind w:right="30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six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e-commerce channel net sales</w:t>
            </w:r>
          </w:p>
        </w:tc>
        <w:tc>
          <w:tcPr>
            <w:tcW w:w="880" w:type="dxa"/>
            <w:vAlign w:val="bottom"/>
            <w:tcBorders>
              <w:bottom w:val="single" w:sz="8" w:color="CFF0FC"/>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31,112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40,783</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Traditional channel net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49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86,901</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101,875</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49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-179070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-179070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-530860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-530860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right="340" w:firstLine="1134"/>
        <w:spacing w:after="0" w:line="282" w:lineRule="auto"/>
        <w:rPr>
          <w:sz w:val="20"/>
          <w:szCs w:val="20"/>
          <w:color w:val="auto"/>
        </w:rPr>
      </w:pPr>
      <w:r>
        <w:rPr>
          <w:rFonts w:ascii="Times New Roman" w:cs="Times New Roman" w:eastAsia="Times New Roman" w:hAnsi="Times New Roman"/>
          <w:sz w:val="18"/>
          <w:szCs w:val="18"/>
          <w:color w:val="auto"/>
        </w:rPr>
        <w:t>We sell our products worldwide. The following table sets forth certain information regarding geographic makeup of net sales for the six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4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net sales</w:t>
            </w: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82,247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7"/>
        </w:trPr>
        <w:tc>
          <w:tcPr>
            <w:tcW w:w="494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86,901</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49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-179705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-179705</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-530860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-530860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right="46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in our shooting sports and outdoor lifestyle categories for the six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Shooting sports net sales</w:t>
            </w:r>
          </w:p>
        </w:tc>
        <w:tc>
          <w:tcPr>
            <w:tcW w:w="880" w:type="dxa"/>
            <w:vAlign w:val="bottom"/>
            <w:tcBorders>
              <w:bottom w:val="single" w:sz="8" w:color="CFF0FC"/>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36,574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42,484</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lifestyle net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Pr>
          <w:p>
            <w:pPr>
              <w:spacing w:after="0"/>
              <w:rPr>
                <w:sz w:val="21"/>
                <w:szCs w:val="21"/>
                <w:color w:val="auto"/>
              </w:rPr>
            </w:pPr>
          </w:p>
        </w:tc>
        <w:tc>
          <w:tcPr>
            <w:tcW w:w="1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49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86,901</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101,875</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(14.7%)</w:t>
            </w:r>
          </w:p>
        </w:tc>
      </w:tr>
      <w:tr>
        <w:trPr>
          <w:trHeight w:val="27"/>
        </w:trPr>
        <w:tc>
          <w:tcPr>
            <w:tcW w:w="49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-179705</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-179705</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-530860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-530860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generally provide either a limited lifetime, four-year, three-year, two-year, or one-year warranty program to the original purchaser of most of our products. We will also repair or replace certain products or parts found to be defective under normal use and service with an item of equivalent value, at our option, without charge during the warranty period.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accrued warranties, which was recorded in accrued expenses, during the six months ended October 31,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37"/>
        </w:trPr>
        <w:tc>
          <w:tcPr>
            <w:tcW w:w="80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3"/>
        </w:trPr>
        <w:tc>
          <w:tcPr>
            <w:tcW w:w="8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adjustments to provisions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claims</w:t>
            </w:r>
          </w:p>
        </w:tc>
        <w:tc>
          <w:tcPr>
            <w:tcW w:w="2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7"/>
        </w:trPr>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right="220" w:firstLine="113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spacing w:after="0" w:line="187" w:lineRule="exact"/>
        <w:rPr>
          <w:sz w:val="20"/>
          <w:szCs w:val="20"/>
          <w:color w:val="auto"/>
        </w:rPr>
      </w:pPr>
    </w:p>
    <w:p>
      <w:pPr>
        <w:ind w:right="80" w:firstLine="113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 Reporting Comprehensive Income - 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which requires disaggregation disclosures on an annual or interim basis, in the notes to the financial statements, of certain categories of expenses that are included in expense line items on the face of the statement of operations. ASU 2024-03 is effective for fiscal years beginning after December 15, 2026, and interim periods within annual reporting periods beginning after December 15, 2027 and should be applied prospectively, with the option to apply the standard retrospectively. We are currently evaluating the impact of adopting this ASU 2024-03 on our consolidated financial statements and disclosures.</w:t>
      </w:r>
    </w:p>
    <w:p>
      <w:pPr>
        <w:spacing w:after="0" w:line="172"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Financial Instruments-Credit Losses (Topic 326): </w:t>
      </w:r>
      <w:r>
        <w:rPr>
          <w:rFonts w:ascii="Times New Roman" w:cs="Times New Roman" w:eastAsia="Times New Roman" w:hAnsi="Times New Roman"/>
          <w:sz w:val="18"/>
          <w:szCs w:val="18"/>
          <w:i w:val="1"/>
          <w:iCs w:val="1"/>
          <w:color w:val="auto"/>
        </w:rPr>
        <w:t>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which improves transparency to provide all entities with a practical expedient when estimating expected credit losses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accounts receivable and current contract assets arising from transactions accounted for under Topic 606. All entities may elect a practical expedient that assumes that current conditions as of the balance sheet date do not change for the remaining life of the asset. The new guidance is effective for fiscal years beginning after December 15, 2025, and interim reporting periods within those annual reporting periods. Early adoption is permitted. This ASU 2025-05 is not expected to have a significant impact to the Company’s consolidated financial statements when adopted.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21" w:lineRule="exact"/>
        <w:rPr>
          <w:sz w:val="20"/>
          <w:szCs w:val="20"/>
          <w:color w:val="auto"/>
        </w:rPr>
      </w:pPr>
    </w:p>
    <w:p>
      <w:pPr>
        <w:ind w:firstLine="1134"/>
        <w:spacing w:after="0" w:line="256" w:lineRule="auto"/>
        <w:rPr>
          <w:sz w:val="20"/>
          <w:szCs w:val="20"/>
          <w:color w:val="auto"/>
        </w:rPr>
      </w:pPr>
      <w:r>
        <w:rPr>
          <w:rFonts w:ascii="Times New Roman" w:cs="Times New Roman" w:eastAsia="Times New Roman" w:hAnsi="Times New Roman"/>
          <w:sz w:val="18"/>
          <w:szCs w:val="18"/>
          <w:color w:val="auto"/>
        </w:rPr>
        <w:t>We lease real estate, as well as other equipment, under non-cancelable operating lease agreements. We recognize expenses under our operating lease assets and liabilities at the commencement date based on the present value of lease payments over the lease terms. Our leases do not provide an implicit interest rate. We use our incremental borrowing rate consistent with our revolving line of credit based on the information available at the lease commencement date in determining the discount rate for the present value of lease payments. Our lease agreements do not require material variable lease payments, residual value guarantees, or restrictive covenants. For operating leases, we recognize expense on a straight-line basis over the lease term. We record tenant improvement allowances as an offsetting adjustment included in our calculation of the respective right-of-use asset.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9" w:lineRule="exact"/>
        <w:rPr>
          <w:sz w:val="20"/>
          <w:szCs w:val="20"/>
          <w:color w:val="auto"/>
        </w:rPr>
      </w:pPr>
    </w:p>
    <w:p>
      <w:pPr>
        <w:ind w:right="20" w:firstLine="1134"/>
        <w:spacing w:after="0" w:line="266" w:lineRule="auto"/>
        <w:rPr>
          <w:sz w:val="20"/>
          <w:szCs w:val="20"/>
          <w:color w:val="auto"/>
        </w:rPr>
      </w:pPr>
      <w:r>
        <w:rPr>
          <w:rFonts w:ascii="Times New Roman" w:cs="Times New Roman" w:eastAsia="Times New Roman" w:hAnsi="Times New Roman"/>
          <w:sz w:val="18"/>
          <w:szCs w:val="18"/>
          <w:color w:val="auto"/>
        </w:rPr>
        <w:t>Many of our leases include renewal options that can extend the lease term. These renewal options are at our sole discretion and are reflected in the lease term when they are reasonably certain to be exercised. The depreciable life of assets and leasehold improvements are limited by the expected lease term.</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amounts of assets and liabilities related to our operating leases as of October 31, 2025 and April 30, 2025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81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37,474</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31,896</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31,949</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33,284</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1134"/>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October 31, 2025, we recorded $1.1 million and $2.2 million, respectively, of operating lease costs, of which $69,000 and $168,000, respectively, related to short-term leases. For the three and six months ended October 31, 2024, we recorded $1.0 million and $2.0 million, respectively, of operating lease costs, of which $2,000 related to short-term leases. As of October 31, 2025, our weighted average lease term and weighted average discount rate for our operating leases were 13.0 years and 6.0%, respectively. As of April 30, 2025, our weighted average lease term and weighted average discount rate for our operating leases were 13.5 years and 5.4%, respectively. The operating lease costs, weighted average lease term, and weighted average discount rate, are primarily driven by the lease of our corporate office and warehouse facility in Columbia, Missouri through our fiscal year ending April 30, 2039. The depreciable lives of right-of-use assets are limited by the lease term and are amortized on a straight-line basis over the life of the lease.</w:t>
      </w:r>
    </w:p>
    <w:p>
      <w:pPr>
        <w:spacing w:after="0" w:line="192" w:lineRule="exact"/>
        <w:rPr>
          <w:sz w:val="20"/>
          <w:szCs w:val="20"/>
          <w:color w:val="auto"/>
        </w:rPr>
      </w:pPr>
    </w:p>
    <w:p>
      <w:pPr>
        <w:ind w:right="160" w:firstLine="1134"/>
        <w:spacing w:after="0" w:line="282" w:lineRule="auto"/>
        <w:rPr>
          <w:sz w:val="20"/>
          <w:szCs w:val="20"/>
          <w:color w:val="auto"/>
        </w:rPr>
      </w:pPr>
      <w:r>
        <w:rPr>
          <w:rFonts w:ascii="Times New Roman" w:cs="Times New Roman" w:eastAsia="Times New Roman" w:hAnsi="Times New Roman"/>
          <w:sz w:val="18"/>
          <w:szCs w:val="18"/>
          <w:color w:val="auto"/>
        </w:rPr>
        <w:t>Future lease payments for all our operating leases for the remainder of fiscal 2026 and for succeeding fiscal years, as of October 31, 2025,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37"/>
        </w:trPr>
        <w:tc>
          <w:tcPr>
            <w:tcW w:w="976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7"/>
        </w:trPr>
        <w:tc>
          <w:tcPr>
            <w:tcW w:w="9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32,461</w:t>
            </w:r>
          </w:p>
        </w:tc>
      </w:tr>
      <w:tr>
        <w:trPr>
          <w:trHeight w:val="27"/>
        </w:trPr>
        <w:tc>
          <w:tcPr>
            <w:tcW w:w="97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48,260</w:t>
            </w:r>
          </w:p>
        </w:tc>
      </w:tr>
      <w:tr>
        <w:trPr>
          <w:trHeight w:val="23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w:t>
            </w:r>
          </w:p>
        </w:tc>
      </w:tr>
      <w:tr>
        <w:trPr>
          <w:trHeight w:val="27"/>
        </w:trPr>
        <w:tc>
          <w:tcPr>
            <w:tcW w:w="97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of lease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7"/>
        </w:trPr>
        <w:tc>
          <w:tcPr>
            <w:tcW w:w="97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maturities of lease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31,625</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20" w:firstLine="1134"/>
        <w:spacing w:after="0" w:line="282" w:lineRule="auto"/>
        <w:rPr>
          <w:sz w:val="20"/>
          <w:szCs w:val="20"/>
          <w:color w:val="auto"/>
        </w:rPr>
      </w:pPr>
      <w:r>
        <w:rPr>
          <w:rFonts w:ascii="Times New Roman" w:cs="Times New Roman" w:eastAsia="Times New Roman" w:hAnsi="Times New Roman"/>
          <w:sz w:val="18"/>
          <w:szCs w:val="18"/>
          <w:color w:val="auto"/>
        </w:rPr>
        <w:t>The cash paid for amounts included in the measurement of liabilities and the operating cash flows was $523,000 and $637,000 for the six months ended October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 net: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October 31, 2025 and April 30,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36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software and technology</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 trademarks, and trade names</w:t>
            </w:r>
          </w:p>
        </w:tc>
        <w:tc>
          <w:tcPr>
            <w:tcW w:w="1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70,208</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(55,859)</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(53,966)</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188,343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 and software in development</w:t>
            </w:r>
          </w:p>
        </w:tc>
        <w:tc>
          <w:tcPr>
            <w:tcW w:w="1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6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-1439545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-1439545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-1439545</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2" w:lineRule="exact"/>
        <w:rPr>
          <w:sz w:val="20"/>
          <w:szCs w:val="20"/>
          <w:color w:val="auto"/>
        </w:rPr>
      </w:pPr>
    </w:p>
    <w:p>
      <w:pPr>
        <w:ind w:right="120" w:firstLine="1134"/>
        <w:spacing w:after="0" w:line="258" w:lineRule="auto"/>
        <w:rPr>
          <w:sz w:val="20"/>
          <w:szCs w:val="20"/>
          <w:color w:val="auto"/>
        </w:rPr>
      </w:pPr>
      <w:r>
        <w:rPr>
          <w:rFonts w:ascii="Times New Roman" w:cs="Times New Roman" w:eastAsia="Times New Roman" w:hAnsi="Times New Roman"/>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software and technology, and six years for patents, trademarks, and trade names. Amortization expense amounted to $2.1 million and $2.4 million for the three months ended October 31, 2025 and 2024, respectively. Amortization expense amounted to $4.3 million and $4.9 million for the six months ended October 31, 2025 and 2024, respectively.</w:t>
      </w:r>
    </w:p>
    <w:p>
      <w:pPr>
        <w:spacing w:after="0" w:line="183" w:lineRule="exact"/>
        <w:rPr>
          <w:sz w:val="20"/>
          <w:szCs w:val="20"/>
          <w:color w:val="auto"/>
        </w:rPr>
      </w:pPr>
    </w:p>
    <w:p>
      <w:pPr>
        <w:ind w:right="540" w:firstLine="1134"/>
        <w:spacing w:after="0" w:line="282" w:lineRule="auto"/>
        <w:rPr>
          <w:sz w:val="20"/>
          <w:szCs w:val="20"/>
          <w:color w:val="auto"/>
        </w:rPr>
      </w:pPr>
      <w:r>
        <w:rPr>
          <w:rFonts w:ascii="Times New Roman" w:cs="Times New Roman" w:eastAsia="Times New Roman" w:hAnsi="Times New Roman"/>
          <w:sz w:val="18"/>
          <w:szCs w:val="18"/>
          <w:color w:val="auto"/>
        </w:rPr>
        <w:t>Future expected amortization expense for the remainder of fiscal 2026 and for succeeding fiscal years, as of October 31, 2025,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9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6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25,266</w:t>
            </w: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-1422400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119" w:lineRule="exact"/>
        <w:rPr>
          <w:sz w:val="20"/>
          <w:szCs w:val="20"/>
          <w:color w:val="auto"/>
        </w:rPr>
      </w:pPr>
    </w:p>
    <w:p>
      <w:pPr>
        <w:ind w:firstLine="1134"/>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4" w:lineRule="exact"/>
        <w:rPr>
          <w:sz w:val="20"/>
          <w:szCs w:val="20"/>
          <w:color w:val="auto"/>
        </w:rPr>
      </w:pPr>
    </w:p>
    <w:p>
      <w:pPr>
        <w:ind w:right="100" w:firstLine="113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7" w:lineRule="exact"/>
        <w:rPr>
          <w:sz w:val="20"/>
          <w:szCs w:val="20"/>
          <w:color w:val="auto"/>
        </w:rPr>
      </w:pPr>
    </w:p>
    <w:p>
      <w:pPr>
        <w:jc w:val="both"/>
        <w:ind w:right="180"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that we have the ability to access at the measurement date (examples include active exchange-traded equity securities, listed derivatives, and most U.S. Government and agency securities).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are reported at fair value based on market prices for identical assets in active markets, and therefore classified as Level 1 of the value hierarchy. Our cash and cash equivalents, which are measured at fair value on a recurring basis, totaled as follows as of October 31, 2025 and April 30, 2025 which would be the maximum amount of loss subject to credit risk: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tcBorders>
              <w:bottom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both"/>
        <w:ind w:right="20" w:firstLine="113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are based on quoted prices of instruments with similar attributes in active markets. Level 2 inputs include the following:</w:t>
      </w:r>
    </w:p>
    <w:p>
      <w:pPr>
        <w:spacing w:after="0" w:line="52" w:lineRule="exact"/>
        <w:rPr>
          <w:sz w:val="20"/>
          <w:szCs w:val="20"/>
          <w:color w:val="auto"/>
        </w:rPr>
      </w:pPr>
    </w:p>
    <w:p>
      <w:pPr>
        <w:ind w:left="2280" w:right="460" w:hanging="1138"/>
        <w:spacing w:after="0" w:line="261" w:lineRule="auto"/>
        <w:tabs>
          <w:tab w:leader="none" w:pos="2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ind w:left="2280" w:right="20" w:hanging="1138"/>
        <w:spacing w:after="0" w:line="250" w:lineRule="auto"/>
        <w:tabs>
          <w:tab w:leader="none" w:pos="2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ind w:left="2280" w:right="40" w:hanging="1138"/>
        <w:spacing w:after="0" w:line="260" w:lineRule="auto"/>
        <w:tabs>
          <w:tab w:leader="none" w:pos="2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79" w:lineRule="exact"/>
        <w:rPr>
          <w:sz w:val="20"/>
          <w:szCs w:val="20"/>
          <w:color w:val="auto"/>
        </w:rPr>
      </w:pPr>
    </w:p>
    <w:p>
      <w:pPr>
        <w:ind w:right="80"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unobservable and significant to the overall fair value measurement. These inputs reflect our assumptions about the assumptions a market participant would use in pricing the asset or liability.</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 do not have any Level 2 or 3 financial assets or liabilities as of October 31, 2025 and April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ind w:right="4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stated at lower of cost or net realizable value, as of October 31, 2025 and April 30, 2025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78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114,806</w:t>
            </w:r>
          </w:p>
        </w:tc>
        <w:tc>
          <w:tcPr>
            <w:tcW w:w="6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(a) $</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96,105</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parts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7"/>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7"/>
        </w:trPr>
        <w:tc>
          <w:tcPr>
            <w:tcW w:w="78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3"/>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123,978</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104,717</w:t>
            </w: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-33655</wp:posOffset>
            </wp:positionV>
            <wp:extent cx="2482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-213995</wp:posOffset>
            </wp:positionV>
            <wp:extent cx="2482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-908050</wp:posOffset>
            </wp:positionV>
            <wp:extent cx="2482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259" w:lineRule="exact"/>
        <w:rPr>
          <w:sz w:val="20"/>
          <w:szCs w:val="20"/>
          <w:color w:val="auto"/>
        </w:rPr>
      </w:pPr>
    </w:p>
    <w:p>
      <w:pPr>
        <w:ind w:right="240" w:firstLine="8"/>
        <w:spacing w:after="0" w:line="282"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rise in finished goods inventory reflects higher tariff costs on products sourced from outside the U.S., stemming from tariffs imposed by the U.S. Administration in March and April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20" w:firstLine="1620"/>
        <w:spacing w:after="0" w:line="266" w:lineRule="auto"/>
        <w:rPr>
          <w:sz w:val="20"/>
          <w:szCs w:val="20"/>
          <w:color w:val="auto"/>
        </w:rPr>
      </w:pPr>
      <w:r>
        <w:rPr>
          <w:rFonts w:ascii="Times New Roman" w:cs="Times New Roman" w:eastAsia="Times New Roman" w:hAnsi="Times New Roman"/>
          <w:sz w:val="18"/>
          <w:szCs w:val="18"/>
          <w:color w:val="auto"/>
        </w:rPr>
        <w:t>On August 24, 2020, we entered into a financing arrangement consisting of a $50.0 million revolving line of credit secured by substantially all our assets, maturing five years from the closing date, with available borrowings determined by a borrowing base calculation. The revolving line included an option to increase the credit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commitment by an additional $15 million. The revolving line bore interest at a fluctuating rate equal to the Base Rate or LIBOR, as applicable, plus the applicable margin.</w:t>
      </w:r>
    </w:p>
    <w:p>
      <w:pPr>
        <w:spacing w:after="0" w:line="162" w:lineRule="exact"/>
        <w:rPr>
          <w:sz w:val="20"/>
          <w:szCs w:val="20"/>
          <w:color w:val="auto"/>
        </w:rPr>
      </w:pPr>
    </w:p>
    <w:p>
      <w:pPr>
        <w:ind w:firstLine="1620"/>
        <w:spacing w:after="0" w:line="256" w:lineRule="auto"/>
        <w:rPr>
          <w:sz w:val="20"/>
          <w:szCs w:val="20"/>
          <w:color w:val="auto"/>
        </w:rPr>
      </w:pPr>
      <w:r>
        <w:rPr>
          <w:rFonts w:ascii="Times New Roman" w:cs="Times New Roman" w:eastAsia="Times New Roman" w:hAnsi="Times New Roman"/>
          <w:sz w:val="18"/>
          <w:szCs w:val="18"/>
          <w:color w:val="auto"/>
        </w:rPr>
        <w:t>On March 25, 2022, we amended our secured loan and security agreement, or the Amended Loan and Security Agreement, increasing the revolving line of credit to $75 million, secured by substantially all our assets, maturing in March 2027, with available borrowings determined by a borrowing base calculation. The amendment also includes an option to increase the credit commitment by an additional $15 million. The amended revolving line bears interest at a fluctuating rate equal to the Base Rate or Secured Overnight Financing Rate, or SOFR, as applicable, plus the applicable margin. The applicable margin can range from a minimum of 0.25% to a maximum of 1.75% based on certain conditions as defined in the Amended Loan and Security Agreement. The financing arrangement contains covenants relating to minimum debt service coverage.</w:t>
      </w:r>
    </w:p>
    <w:p>
      <w:pPr>
        <w:spacing w:after="0" w:line="187" w:lineRule="exact"/>
        <w:rPr>
          <w:sz w:val="20"/>
          <w:szCs w:val="20"/>
          <w:color w:val="auto"/>
        </w:rPr>
      </w:pPr>
    </w:p>
    <w:p>
      <w:pPr>
        <w:ind w:right="80" w:firstLine="1620"/>
        <w:spacing w:after="0" w:line="261" w:lineRule="auto"/>
        <w:rPr>
          <w:sz w:val="20"/>
          <w:szCs w:val="20"/>
          <w:color w:val="auto"/>
        </w:rPr>
      </w:pPr>
      <w:r>
        <w:rPr>
          <w:rFonts w:ascii="Times New Roman" w:cs="Times New Roman" w:eastAsia="Times New Roman" w:hAnsi="Times New Roman"/>
          <w:sz w:val="18"/>
          <w:szCs w:val="18"/>
          <w:color w:val="auto"/>
        </w:rPr>
        <w:t>During the three months ended October 31, 2025, we borrowed $5.3 million on our revolving line of credit for general business purposes. Also during the three months ended October 31, 2025, we paid in full, the $5.3 million borrowed on our revolving line of credit utilizing cash on hand. As of October 31, 2025, we had no borrowings outstanding on the revolving line of credit. If we would have had borrowings at October 31, 2025, those borrowings would have borne interest at approximately 5.72%, which is equal to SOFR plus the applicable margin.</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October 31, 2025, we have irrevocable standby letters of credit totaling $4.0 million to collateralize duty drawback bonds.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October 31, 2025, no amounts have been drawn on the letters of credit.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right="40" w:firstLine="1620"/>
        <w:spacing w:after="0" w:line="253" w:lineRule="auto"/>
        <w:rPr>
          <w:sz w:val="20"/>
          <w:szCs w:val="20"/>
          <w:color w:val="auto"/>
        </w:rPr>
      </w:pPr>
      <w:r>
        <w:rPr>
          <w:rFonts w:ascii="Times New Roman" w:cs="Times New Roman" w:eastAsia="Times New Roman" w:hAnsi="Times New Roman"/>
          <w:sz w:val="18"/>
          <w:szCs w:val="18"/>
          <w:color w:val="auto"/>
        </w:rPr>
        <w:t>On October 2, 2023, our Board of Directors authorized the repurchase of up to $10.0 million of our common stock, subject to certain conditions in the open market, in block purchases, or in privately negotiated transactions. This authorization expired on September 30, 2024. On September 25, 2024, our Board of Directors approved a program to purchase up to $10.0 million of our common stock, subject to certain conditions, in the open market, in block purchases, or in privately negotiated transactions. This authorization expired on September 30, 2025. On September 30, 2025 our Board of Directors authorized the repurchase of up to $10.0 million of our common stock, subject to certain conditions in the open market, in block purchases, or in privately negotiated transactions, commencing on October 1, 2025 and executable through September 30, 2026. During the three and six months ended October 31, 2025, under these authorizations, we repurchased 73,939 and 314,376 shares of our common stock for $662,000 and</w:t>
      </w:r>
    </w:p>
    <w:p>
      <w:pPr>
        <w:spacing w:after="0" w:line="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$3.2 million utilizing cash on hand. During the three and six months ended October 31, 2024, under these authorizations, we repurchased 111,480 and 153,497 shares of our common stock for $1.0 million and $1.4 million utilizing cash on hand,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60" w:firstLine="1620"/>
        <w:spacing w:after="0" w:line="261" w:lineRule="auto"/>
        <w:rPr>
          <w:sz w:val="20"/>
          <w:szCs w:val="20"/>
          <w:color w:val="auto"/>
        </w:rPr>
      </w:pPr>
      <w:r>
        <w:rPr>
          <w:rFonts w:ascii="Times New Roman" w:cs="Times New Roman" w:eastAsia="Times New Roman" w:hAnsi="Times New Roman"/>
          <w:sz w:val="18"/>
          <w:szCs w:val="18"/>
          <w:color w:val="auto"/>
        </w:rPr>
        <w:t>We compute diluted earnings per share by giving effect to all potentially dilutive stock awards that are outstanding. The computation of diluted earnings per share excludes the effect of the potential exercise of stock-based awards when the effect of the potential exercise would be anti-dilutive. All of our outstanding RSUs were included in the computation of diluted earnings per share for the three and six months ended October 31, 2025 and 2024.</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9" w:lineRule="exact"/>
        <w:rPr>
          <w:sz w:val="20"/>
          <w:szCs w:val="20"/>
          <w:color w:val="auto"/>
        </w:rPr>
      </w:pPr>
    </w:p>
    <w:p>
      <w:pPr>
        <w:ind w:right="220" w:firstLine="16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share for the three months ended October 31, 2025 and 2024 (in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gridSpan w:val="9"/>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46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46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7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4"/>
                <w:szCs w:val="14"/>
                <w:color w:val="auto"/>
              </w:rPr>
            </w:pPr>
          </w:p>
        </w:tc>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90"/>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46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2,074</w:t>
            </w: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23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4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earnings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2,074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12,872</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spacing w:after="0"/>
              <w:rPr>
                <w:sz w:val="22"/>
                <w:szCs w:val="22"/>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-33655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-33655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-33655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-33655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-196850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-196850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-196850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-196850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right="480" w:firstLine="16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net (loss)/income amounts and weighted average number of common and common equivalent shares used to determine basic and diluted earnings per share for the six months ended October 31, 2025 and 2024 (in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58"/>
        </w:trPr>
        <w:tc>
          <w:tcPr>
            <w:tcW w:w="4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3"/>
                <w:szCs w:val="13"/>
                <w:color w:val="auto"/>
              </w:rPr>
            </w:pPr>
          </w:p>
        </w:tc>
        <w:tc>
          <w:tcPr>
            <w:tcW w:w="1100" w:type="dxa"/>
            <w:vAlign w:val="bottom"/>
            <w:gridSpan w:val="3"/>
          </w:tcPr>
          <w:p>
            <w:pPr>
              <w:jc w:val="center"/>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23"/>
              <w:spacing w:after="0" w:line="158"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04"/>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462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64"/>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(loss)/earnings</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12,678</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37"/>
        </w:trPr>
        <w:tc>
          <w:tcPr>
            <w:tcW w:w="4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(loss)/earnings</w:t>
            </w: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8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12,678</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13,211</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-170815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-170815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right="80" w:firstLine="360"/>
        <w:spacing w:after="0" w:line="282" w:lineRule="auto"/>
        <w:rPr>
          <w:sz w:val="20"/>
          <w:szCs w:val="20"/>
          <w:color w:val="auto"/>
        </w:rPr>
      </w:pPr>
      <w:r>
        <w:rPr>
          <w:rFonts w:ascii="Times New Roman" w:cs="Times New Roman" w:eastAsia="Times New Roman" w:hAnsi="Times New Roman"/>
          <w:sz w:val="18"/>
          <w:szCs w:val="18"/>
          <w:color w:val="auto"/>
        </w:rPr>
        <w:t>Due to the loss from operations for the six months ended October 31, 2025, there are no common shares added to calculate dilutive earnings per share because the effect would be anti-dilutive.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 have a stock incentive plan, or 2020 Incentive Compensation Plan, under which we can grant new awards to our employees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right="60" w:firstLine="1134"/>
        <w:spacing w:after="0" w:line="261" w:lineRule="auto"/>
        <w:rPr>
          <w:sz w:val="20"/>
          <w:szCs w:val="20"/>
          <w:color w:val="auto"/>
        </w:rPr>
      </w:pPr>
      <w:r>
        <w:rPr>
          <w:rFonts w:ascii="Times New Roman" w:cs="Times New Roman" w:eastAsia="Times New Roman" w:hAnsi="Times New Roman"/>
          <w:sz w:val="18"/>
          <w:szCs w:val="18"/>
          <w:color w:val="auto"/>
        </w:rPr>
        <w:t>We grant RSUs to employees and directors. The awards are made at no cost to the recipient. An RSU represents the right to receive one share of our common stock and does not carry voting or dividend rights. Except in specific circumstances, RSU grants to employees generally vest over a period of three or four years with one-third or one-fourth of the units vesting on each anniversary of the grant date, respectively. We amortize the aggregate fair value of our RSU grants to compensation expense over the vesting period. Awards that do not vest are forfeited.</w:t>
      </w:r>
    </w:p>
    <w:p>
      <w:pPr>
        <w:spacing w:after="0" w:line="166" w:lineRule="exact"/>
        <w:rPr>
          <w:sz w:val="20"/>
          <w:szCs w:val="20"/>
          <w:color w:val="auto"/>
        </w:rPr>
      </w:pPr>
    </w:p>
    <w:p>
      <w:pPr>
        <w:ind w:right="40" w:firstLine="1134"/>
        <w:spacing w:after="0" w:line="236" w:lineRule="auto"/>
        <w:rPr>
          <w:sz w:val="20"/>
          <w:szCs w:val="20"/>
          <w:color w:val="auto"/>
        </w:rPr>
      </w:pPr>
      <w:r>
        <w:rPr>
          <w:rFonts w:ascii="Times New Roman" w:cs="Times New Roman" w:eastAsia="Times New Roman" w:hAnsi="Times New Roman"/>
          <w:sz w:val="18"/>
          <w:szCs w:val="18"/>
          <w:color w:val="auto"/>
        </w:rPr>
        <w:t>We grant PSUs to our executive officers and certain other employees from time to time. We granted PSUs to our executive officers in fiscal 2026 that include internal performance metrics and removed the calculation of the relative performance of our common stock against the Russell 2000, or RUT over the approximately three-year period. These PSUs are earned and vest based on two internal performance metrics that include 1) a three-year average return on invested capital, or ROIC, and 2) a three-year cumulative Adjusted EBITDA. The grant date fair value of the fiscal 2026 awards was estimated using the closing share price of our common stock on the date of grant. The total quantity of PSUs eligible to vest under these awards range from zero to 200% of the target based on actual average ROIC and cumulative Adjusted EBITDA performance during the performance period. As such, the fiscal 2026 awards are subject to performance conditions and compensation cost is recognized over the service period based on the amount of awards that we believe is probable that will vest. To the extent we estimate changes, we will recognize a cumulative catch up in subsequent reporting periods. We assess the likelihood of achieving these performance conditions each quarter and adjust compensation expense accordingly. For the three and six months ended October 31, 2025, we concluded that there were no changes in expected performance outcomes; therefore, no changes to the expense were recognized.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PSUs granted to our executive officers in the prior fiscal year, we calculated the fair value of our PSUs using the Monte-Carlo simulation. We incorporated the following variables into the valuation model for the period ended October 31, 2024 (awards in our prior fiscal year):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r>
      <w:tr>
        <w:trPr>
          <w:trHeight w:val="229"/>
        </w:trPr>
        <w:tc>
          <w:tcPr>
            <w:tcW w:w="7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jc w:val="right"/>
              <w:ind w:right="1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r>
      <w:tr>
        <w:trPr>
          <w:trHeight w:val="230"/>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date fair market value</w:t>
            </w:r>
          </w:p>
        </w:tc>
        <w:tc>
          <w:tcPr>
            <w:tcW w:w="320" w:type="dxa"/>
            <w:vAlign w:val="bottom"/>
            <w:tcBorders>
              <w:bottom w:val="single" w:sz="8" w:color="CFF0FC"/>
            </w:tcBorders>
            <w:shd w:val="clear" w:color="auto" w:fill="CFF0FC"/>
          </w:tcPr>
          <w:p>
            <w:pPr>
              <w:spacing w:after="0"/>
              <w:rPr>
                <w:sz w:val="20"/>
                <w:szCs w:val="20"/>
                <w:color w:val="auto"/>
              </w:rPr>
            </w:pPr>
          </w:p>
        </w:tc>
        <w:tc>
          <w:tcPr>
            <w:tcW w:w="3140" w:type="dxa"/>
            <w:vAlign w:val="bottom"/>
            <w:tcBorders>
              <w:bottom w:val="single" w:sz="8" w:color="CFF0FC"/>
            </w:tcBorders>
            <w:shd w:val="clear" w:color="auto" w:fill="CFF0FC"/>
          </w:tcPr>
          <w:p>
            <w:pPr>
              <w:spacing w:after="0"/>
              <w:rPr>
                <w:sz w:val="20"/>
                <w:szCs w:val="20"/>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American Outdoor Brands, Inc.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7.89</w:t>
            </w:r>
          </w:p>
        </w:tc>
      </w:tr>
      <w:tr>
        <w:trPr>
          <w:trHeight w:val="27"/>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Russell 2000 Index</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1,980.23</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(a)</w:t>
            </w:r>
          </w:p>
        </w:tc>
        <w:tc>
          <w:tcPr>
            <w:tcW w:w="3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American Outdoor Brands, Inc.</w:t>
            </w:r>
          </w:p>
        </w:tc>
        <w:tc>
          <w:tcPr>
            <w:tcW w:w="320" w:type="dxa"/>
            <w:vAlign w:val="bottom"/>
            <w:tcBorders>
              <w:bottom w:val="single" w:sz="8" w:color="CFF0FC"/>
            </w:tcBorders>
            <w:shd w:val="clear" w:color="auto" w:fill="CFF0FC"/>
          </w:tcPr>
          <w:p>
            <w:pPr>
              <w:spacing w:after="0"/>
              <w:rPr>
                <w:sz w:val="21"/>
                <w:szCs w:val="21"/>
                <w:color w:val="auto"/>
              </w:rPr>
            </w:pPr>
          </w:p>
        </w:tc>
        <w:tc>
          <w:tcPr>
            <w:tcW w:w="3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48.15%</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Russell 2000 Index</w:t>
            </w:r>
          </w:p>
        </w:tc>
        <w:tc>
          <w:tcPr>
            <w:tcW w:w="320" w:type="dxa"/>
            <w:vAlign w:val="bottom"/>
          </w:tcPr>
          <w:p>
            <w:pPr>
              <w:spacing w:after="0"/>
              <w:rPr>
                <w:sz w:val="21"/>
                <w:szCs w:val="21"/>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7"/>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Correlation coefficient (b)</w:t>
            </w:r>
          </w:p>
        </w:tc>
        <w:tc>
          <w:tcPr>
            <w:tcW w:w="320" w:type="dxa"/>
            <w:vAlign w:val="bottom"/>
            <w:tcBorders>
              <w:bottom w:val="single" w:sz="8" w:color="CFF0FC"/>
            </w:tcBorders>
            <w:shd w:val="clear" w:color="auto" w:fill="CFF0FC"/>
          </w:tcPr>
          <w:p>
            <w:pPr>
              <w:spacing w:after="0"/>
              <w:rPr>
                <w:sz w:val="21"/>
                <w:szCs w:val="21"/>
                <w:color w:val="auto"/>
              </w:rPr>
            </w:pPr>
          </w:p>
        </w:tc>
        <w:tc>
          <w:tcPr>
            <w:tcW w:w="314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0.37</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(c)</w:t>
            </w:r>
          </w:p>
        </w:tc>
        <w:tc>
          <w:tcPr>
            <w:tcW w:w="320" w:type="dxa"/>
            <w:vAlign w:val="bottom"/>
          </w:tcPr>
          <w:p>
            <w:pPr>
              <w:spacing w:after="0"/>
              <w:rPr>
                <w:sz w:val="21"/>
                <w:szCs w:val="21"/>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4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 (d)</w:t>
            </w:r>
          </w:p>
        </w:tc>
        <w:tc>
          <w:tcPr>
            <w:tcW w:w="320" w:type="dxa"/>
            <w:vAlign w:val="bottom"/>
            <w:shd w:val="clear" w:color="auto" w:fill="CFF0FC"/>
          </w:tcPr>
          <w:p>
            <w:pPr>
              <w:spacing w:after="0"/>
              <w:rPr>
                <w:sz w:val="21"/>
                <w:szCs w:val="21"/>
                <w:color w:val="auto"/>
              </w:rPr>
            </w:pP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77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3140" w:type="dxa"/>
            <w:vAlign w:val="bottom"/>
            <w:shd w:val="clear" w:color="auto" w:fill="CFF0FC"/>
          </w:tcPr>
          <w:p>
            <w:pPr>
              <w:spacing w:after="0"/>
              <w:rPr>
                <w:sz w:val="2"/>
                <w:szCs w:val="2"/>
                <w:color w:val="auto"/>
              </w:rPr>
            </w:pPr>
          </w:p>
        </w:tc>
      </w:tr>
    </w:tbl>
    <w:p>
      <w:pPr>
        <w:spacing w:after="0" w:line="180" w:lineRule="exact"/>
        <w:rPr>
          <w:sz w:val="20"/>
          <w:szCs w:val="20"/>
          <w:color w:val="auto"/>
        </w:rPr>
      </w:pPr>
    </w:p>
    <w:p>
      <w:pPr>
        <w:ind w:left="1620" w:right="240" w:hanging="802"/>
        <w:spacing w:after="0" w:line="261" w:lineRule="auto"/>
        <w:tabs>
          <w:tab w:leader="none" w:pos="161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is calculated based on a peer group over the most recent period that represents the remaining term of the performance period as of the valuation date, or three years.</w:t>
      </w:r>
    </w:p>
    <w:p>
      <w:pPr>
        <w:ind w:left="1620" w:hanging="802"/>
        <w:spacing w:after="0"/>
        <w:tabs>
          <w:tab w:leader="none" w:pos="1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correlation coefficient utilizes the same historical price data used to develop the volatility assumptions.</w:t>
      </w:r>
    </w:p>
    <w:p>
      <w:pPr>
        <w:spacing w:after="0" w:line="14" w:lineRule="exact"/>
        <w:rPr>
          <w:rFonts w:ascii="Times New Roman" w:cs="Times New Roman" w:eastAsia="Times New Roman" w:hAnsi="Times New Roman"/>
          <w:sz w:val="14"/>
          <w:szCs w:val="14"/>
          <w:color w:val="auto"/>
        </w:rPr>
      </w:pPr>
    </w:p>
    <w:p>
      <w:pPr>
        <w:ind w:left="1620" w:hanging="802"/>
        <w:spacing w:after="0"/>
        <w:tabs>
          <w:tab w:leader="none" w:pos="1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is based on the yield of a zero-coupon U.S. Treasury bill, commensurate with the three-year performance period.</w:t>
      </w:r>
    </w:p>
    <w:p>
      <w:pPr>
        <w:spacing w:after="0" w:line="14" w:lineRule="exact"/>
        <w:rPr>
          <w:rFonts w:ascii="Times New Roman" w:cs="Times New Roman" w:eastAsia="Times New Roman" w:hAnsi="Times New Roman"/>
          <w:sz w:val="14"/>
          <w:szCs w:val="14"/>
          <w:color w:val="auto"/>
        </w:rPr>
      </w:pPr>
    </w:p>
    <w:p>
      <w:pPr>
        <w:ind w:left="1620" w:hanging="802"/>
        <w:spacing w:after="0"/>
        <w:tabs>
          <w:tab w:leader="none" w:pos="1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expect to pay dividends in the foreseeable future.</w:t>
      </w:r>
    </w:p>
    <w:p>
      <w:pPr>
        <w:spacing w:after="0" w:line="222" w:lineRule="exact"/>
        <w:rPr>
          <w:sz w:val="20"/>
          <w:szCs w:val="20"/>
          <w:color w:val="auto"/>
        </w:rPr>
      </w:pPr>
    </w:p>
    <w:p>
      <w:pPr>
        <w:ind w:firstLine="1134"/>
        <w:spacing w:after="0" w:line="258" w:lineRule="auto"/>
        <w:rPr>
          <w:sz w:val="20"/>
          <w:szCs w:val="20"/>
          <w:color w:val="auto"/>
        </w:rPr>
      </w:pPr>
      <w:r>
        <w:rPr>
          <w:rFonts w:ascii="Times New Roman" w:cs="Times New Roman" w:eastAsia="Times New Roman" w:hAnsi="Times New Roman"/>
          <w:sz w:val="18"/>
          <w:szCs w:val="18"/>
          <w:color w:val="auto"/>
        </w:rPr>
        <w:t>The PSUs granted in the prior fiscal year vest, and the fair value of such PSUs will be recognized, over the corresponding three-year performance period. Our PSUs have a maximum aggregate award equal to 200% of the target unit amount granted. Generally, the number of PSUs that may be earned depends upon the total stockholder return, or TSR, of our common stock compared with the TSR of the Russell 2000 Index, or the RUT, over the three-year performance period. For PSUs, our stock must outperform the RUT by 5% in order for the target award to vest. In addition, there is a cap on the number of shares that can be earned under our PSUs, which is equal to six times the grant-date value of each award.</w:t>
      </w:r>
    </w:p>
    <w:p>
      <w:pPr>
        <w:spacing w:after="0" w:line="183" w:lineRule="exact"/>
        <w:rPr>
          <w:sz w:val="20"/>
          <w:szCs w:val="20"/>
          <w:color w:val="auto"/>
        </w:rPr>
      </w:pPr>
    </w:p>
    <w:p>
      <w:pPr>
        <w:ind w:right="20" w:firstLine="1134"/>
        <w:spacing w:after="0" w:line="255" w:lineRule="auto"/>
        <w:rPr>
          <w:sz w:val="20"/>
          <w:szCs w:val="20"/>
          <w:color w:val="auto"/>
        </w:rPr>
      </w:pPr>
      <w:r>
        <w:rPr>
          <w:rFonts w:ascii="Times New Roman" w:cs="Times New Roman" w:eastAsia="Times New Roman" w:hAnsi="Times New Roman"/>
          <w:sz w:val="18"/>
          <w:szCs w:val="18"/>
          <w:color w:val="auto"/>
        </w:rPr>
        <w:t>During the six months ended October 31, 2025, we granted an aggregate of 79,729 PSUs to our executive officers. We also granted 222,002 RSUs during the six months ended October 31, 2025, including 79,729 RSUs to executive officers and 142,273 to non-executive officer employees and directors under our 2020 Incentive Compensation Plan. In addition, in connection with a 2022 grant, we vested 52,277 market-condition PSUs (i.e., the target amount granted), which achieved 200% of the maximum aggregate award possible, resulting in awards totaling 104,554 shares to certain of our executive officers. During the six months ended October 31, 2025, 2,934 RSUs were cancelled as a result of the service condition not being met. In connection with the vesting of RSUs, during the six months ended October 31, 2025, we delivered common stock to our employees, including our executive officers, and directors with a total market value of $3.3 million.</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six months ended October 31, 2024, we granted an aggregate of 98,412 PSUs to our executive officers. We also granted 278,764 RSUs during the six months ended October 31, 2024, including 98,412 RSUs to executive officers and 180,352 to non-executive officer employees and directors under our 2020 Incentive Compensation Plan. During the six months ended October 31, 2024, 23,987 PSUs were cancelled, at target, as a result of the performance condition not being met, and 18,995 RSUs were cancelled as a result of the service condition not being met. In connection with the vesting of RSUs, during the six months ended October 31, 2024, we delivered common stock to our employees, including our executive officers, and directors with a total market value of $1.9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recognized $848,000 and $900,000 of stock-based compensation expense for the three months ended October 31, 2025 and 2024, respectively. We recognized $1.5 million and $1.8 million of stock-based compensation expense for the six months ended October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stock-based compensation expense primarily in general and administrative expenses.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summary of activity for unvested RSUs and PSUs under our 2020 Incentive Compensation Plan for the six months ended October 31, 2025 and 2024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1"/>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502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24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24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02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4"/>
                <w:szCs w:val="14"/>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4"/>
        </w:trPr>
        <w:tc>
          <w:tcPr>
            <w:tcW w:w="502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Pr>
          <w:p>
            <w:pPr>
              <w:spacing w:after="0"/>
              <w:rPr>
                <w:sz w:val="17"/>
                <w:szCs w:val="17"/>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502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700,953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624,093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(309,545)</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(223,421)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7"/>
        </w:trPr>
        <w:tc>
          <w:tcPr>
            <w:tcW w:w="502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742,482</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734,866</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-33655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-213360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-908050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72" w:lineRule="exact"/>
        <w:rPr>
          <w:sz w:val="20"/>
          <w:szCs w:val="20"/>
          <w:color w:val="auto"/>
        </w:rPr>
      </w:pPr>
    </w:p>
    <w:p>
      <w:pPr>
        <w:ind w:right="180" w:firstLine="1134"/>
        <w:spacing w:after="0" w:line="282" w:lineRule="auto"/>
        <w:rPr>
          <w:sz w:val="20"/>
          <w:szCs w:val="20"/>
          <w:color w:val="auto"/>
        </w:rPr>
      </w:pPr>
      <w:r>
        <w:rPr>
          <w:rFonts w:ascii="Times New Roman" w:cs="Times New Roman" w:eastAsia="Times New Roman" w:hAnsi="Times New Roman"/>
          <w:sz w:val="18"/>
          <w:szCs w:val="18"/>
          <w:color w:val="auto"/>
        </w:rPr>
        <w:t>As of October 31, 2025, there was $3.2 million of unrecognized compensation expense related to unvested RSUs and PSUs. We expect to recognize this expense over a weighted average remaining contractual term of 1.3 years.</w:t>
      </w:r>
    </w:p>
    <w:p>
      <w:pPr>
        <w:spacing w:after="0" w:line="162" w:lineRule="exact"/>
        <w:rPr>
          <w:sz w:val="20"/>
          <w:szCs w:val="20"/>
          <w:color w:val="auto"/>
        </w:rPr>
      </w:pPr>
    </w:p>
    <w:p>
      <w:pPr>
        <w:ind w:firstLine="1134"/>
        <w:spacing w:after="0" w:line="252" w:lineRule="auto"/>
        <w:rPr>
          <w:sz w:val="20"/>
          <w:szCs w:val="20"/>
          <w:color w:val="auto"/>
        </w:rPr>
      </w:pPr>
      <w:r>
        <w:rPr>
          <w:rFonts w:ascii="Times New Roman" w:cs="Times New Roman" w:eastAsia="Times New Roman" w:hAnsi="Times New Roman"/>
          <w:sz w:val="18"/>
          <w:szCs w:val="18"/>
          <w:color w:val="auto"/>
        </w:rPr>
        <w:t>We have an employee stock purchase plan, or ESPP, which authorizes the sale of our common stock to employees. All options and rights to participate in our ESPP are nontransferable and subject to forfeiture in accordance with our ESPP guidelines. Our current ESPP will be implemented in a series of successive offering periods, each with a maximum duration of 12 months. If the fair market value per share of our common stock on any purchase date is less than the fair market value per share on the start date of a 12-month offering period, then that offering period will automatically terminate and a new 12-month offering period will begin on the next business day. Each offering period will begin on April 1 or October 1, as applicable, immediately following the end of the previous offering period. Payroll deductions will be on an after-tax basis, in an amount of not less than 1% and not more than 20% (or such greater percentage as the committee appointed to administer our ESPP may establish from time to time before the first day of an offering period) of a participant’s compensation on each payroll date. The option exercise price per share will equal 85% of the lower of the fair market value on the first day of the offering period or the fair market value on the exercise date. The maximum number of shares that a participant may purchase during any purchase period is the greater of 2,500 shares, or a total of $25,000 in shares, based on the fair market value on the first day of the offering period. Our ESPP will remain in effect until the earliest of (a) the exercise date that participants become entitled to purchase a number of shares greater than the number of reserved shares available for purchase under our ESPP, (b) such date as is determined by our Board of Directors in its discretion, or (c) the tenth anniversary of the effective date. In the event of certain corporate transactions, each option outstanding under our ESPP will be assumed or an equivalent option will be substituted by the successor corporation or a parent or subsidiary of such successor corporation. During the six months ended October 31, 2025 and 2024, 41,286 and 38,957 shares were purchased by our employees under our ESPP, respectively.</w:t>
      </w:r>
    </w:p>
    <w:p>
      <w:pPr>
        <w:spacing w:after="0" w:line="196" w:lineRule="exact"/>
        <w:rPr>
          <w:sz w:val="20"/>
          <w:szCs w:val="20"/>
          <w:color w:val="auto"/>
        </w:rPr>
      </w:pPr>
    </w:p>
    <w:p>
      <w:pPr>
        <w:ind w:right="180" w:firstLine="1134"/>
        <w:spacing w:after="0" w:line="266"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an award of an equity instrument based on the grant-date fair value of the award. We amortize the fair value of the award over the vesting period of the option. Under ESPP, fair value is determined at the beginning of the purchase period and amortized over the term of each exercise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assumptions were used in valuing ESPP purchases under our ESPP during the six months ended October 31, 2025 and 2024:</w:t>
      </w:r>
    </w:p>
    <w:p>
      <w:pPr>
        <w:spacing w:after="0" w:line="27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41910</wp:posOffset>
            </wp:positionV>
            <wp:extent cx="2442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gridSpan w:val="2"/>
          </w:tcPr>
          <w:p>
            <w:pPr>
              <w:ind w:left="8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400" w:type="dxa"/>
            <w:vAlign w:val="bottom"/>
            <w:tcBorders>
              <w:bottom w:val="single" w:sz="8" w:color="CFF0FC"/>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43"/>
        </w:trPr>
        <w:tc>
          <w:tcPr>
            <w:tcW w:w="8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3.98 %</w:t>
            </w:r>
          </w:p>
        </w:tc>
      </w:tr>
      <w:tr>
        <w:trPr>
          <w:trHeight w:val="243"/>
        </w:trPr>
        <w:tc>
          <w:tcPr>
            <w:tcW w:w="8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Expected term</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 months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months</w:t>
            </w:r>
          </w:p>
        </w:tc>
      </w:tr>
      <w:tr>
        <w:trPr>
          <w:trHeight w:val="27"/>
        </w:trPr>
        <w:tc>
          <w:tcPr>
            <w:tcW w:w="7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43"/>
        </w:trPr>
        <w:tc>
          <w:tcPr>
            <w:tcW w:w="8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October 31, 2025 and April 30,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81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freight, duty, and tariff</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allowances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7"/>
        </w:trPr>
        <w:tc>
          <w:tcPr>
            <w:tcW w:w="81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40" w:firstLine="1134"/>
        <w:spacing w:after="0" w:line="258" w:lineRule="auto"/>
        <w:rPr>
          <w:sz w:val="20"/>
          <w:szCs w:val="20"/>
          <w:color w:val="auto"/>
        </w:rPr>
      </w:pPr>
      <w:r>
        <w:rPr>
          <w:rFonts w:ascii="Times New Roman" w:cs="Times New Roman" w:eastAsia="Times New Roman" w:hAnsi="Times New Roman"/>
          <w:sz w:val="18"/>
          <w:szCs w:val="18"/>
          <w:color w:val="auto"/>
        </w:rPr>
        <w:t>The income tax expense included in the condensed consolidated statements of operations is based upon the estimated effective tax rate for the year, adjusted for the impact of discrete items which are accounted for in the period in which they occur. We recorded income tax expense of $0 and $12,000 for the three months ended October 31, 2025 and 2024, respectively. We recorded income tax expense of $53,000 and $34,000 for the six months ended October1, 2025 and 2024, respectively. The effective tax rate for the three months ended October 31, 2025 and 2024 was 0.0% and 0.4%, respectively. The effective tax rate for the six months ended October 31, 2025 and 2024 was (1.1)% and 4.4%, respectively.</w:t>
      </w:r>
    </w:p>
    <w:p>
      <w:pPr>
        <w:spacing w:after="0" w:line="183" w:lineRule="exact"/>
        <w:rPr>
          <w:sz w:val="20"/>
          <w:szCs w:val="20"/>
          <w:color w:val="auto"/>
        </w:rPr>
      </w:pPr>
    </w:p>
    <w:p>
      <w:pPr>
        <w:ind w:right="500" w:firstLine="225"/>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a broad range of tax reform provisions affecting businesses, including extending and modifying certain Tax Cuts &amp; Jobs Act provisions and accelerating the phase-out of certain Inflation Reduction Act incentives. The OBBBA includes provisions modifying net interest deduction limitations, expensing of U.S.-based research and development expenses, and tax</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left="420" w:right="196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depreciation methods, as well as international tax provisions modifying global intangible low-taxed income (GILTI), foreign-derived intangible income (FDII), base erosion and anti-abuse tax (BEAT), and foreign tax credits. The Company evaluated the impacts of the OBBBA and does not expect it to have a material impact on the Company’s current year consolidated financial statements. The Company will continue to assess the potential impact of the OBBBA and monitor developments in legislation, regulation, and interpretive guidance in this area.</w:t>
      </w:r>
    </w:p>
    <w:p>
      <w:pPr>
        <w:spacing w:after="0" w:line="284" w:lineRule="exact"/>
        <w:rPr>
          <w:sz w:val="20"/>
          <w:szCs w:val="20"/>
          <w:color w:val="auto"/>
        </w:rPr>
      </w:pPr>
    </w:p>
    <w:p>
      <w:pPr>
        <w:ind w:left="1140" w:right="8200" w:hanging="1132"/>
        <w:spacing w:after="0" w:line="378" w:lineRule="auto"/>
        <w:tabs>
          <w:tab w:leader="none" w:pos="34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Litigation</w:t>
      </w:r>
    </w:p>
    <w:p>
      <w:pPr>
        <w:ind w:right="540" w:firstLine="1134"/>
        <w:spacing w:after="0" w:line="312" w:lineRule="auto"/>
        <w:rPr>
          <w:sz w:val="20"/>
          <w:szCs w:val="20"/>
          <w:color w:val="auto"/>
        </w:rPr>
      </w:pPr>
      <w:r>
        <w:rPr>
          <w:rFonts w:ascii="Times New Roman" w:cs="Times New Roman" w:eastAsia="Times New Roman" w:hAnsi="Times New Roman"/>
          <w:sz w:val="17"/>
          <w:szCs w:val="17"/>
          <w:color w:val="auto"/>
        </w:rPr>
        <w:t>From time to time, we are involved in lawsuits, claims, investigations, and proceedings, including those relating to product liability, intellectual property, commercial relationships, employment issues, and governmental matters, which arise in the ordinary course of business.</w:t>
      </w:r>
    </w:p>
    <w:p>
      <w:pPr>
        <w:spacing w:after="0" w:line="140"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October 31, 2025 and 2024, we did not incur any material expenses in defense and administrative costs relative to product liability litigation. In addition, we did not incur any settlement fees related to product liability cases in those fiscal years.</w:t>
      </w:r>
    </w:p>
    <w:p>
      <w:pPr>
        <w:spacing w:after="0" w:line="2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Gain Contingency</w:t>
      </w:r>
    </w:p>
    <w:p>
      <w:pPr>
        <w:spacing w:after="0" w:line="119" w:lineRule="exact"/>
        <w:rPr>
          <w:sz w:val="20"/>
          <w:szCs w:val="20"/>
          <w:color w:val="auto"/>
        </w:rPr>
      </w:pPr>
    </w:p>
    <w:p>
      <w:pPr>
        <w:ind w:right="40" w:firstLine="1134"/>
        <w:spacing w:after="0" w:line="261" w:lineRule="auto"/>
        <w:rPr>
          <w:sz w:val="20"/>
          <w:szCs w:val="20"/>
          <w:color w:val="auto"/>
        </w:rPr>
      </w:pPr>
      <w:r>
        <w:rPr>
          <w:rFonts w:ascii="Times New Roman" w:cs="Times New Roman" w:eastAsia="Times New Roman" w:hAnsi="Times New Roman"/>
          <w:sz w:val="18"/>
          <w:szCs w:val="18"/>
          <w:color w:val="auto"/>
        </w:rPr>
        <w:t>In 2018, the United States imposed additional section 301 tariffs of up to 25% on certain goods imported from China. These additional section 301 tariffs apply to our sourced products from China and have added additional cost to us. We are utilizing the duty drawback mechanism to offset some of the direct impact of these tariffs, specifically on goods that we sold internationally. We are accounting for duty drawbacks as a gain contingency and may record any such gain from a reimbursement in future periods if and when the contingency is resolved.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jc w:val="both"/>
        <w:ind w:right="80" w:firstLine="648"/>
        <w:spacing w:after="0" w:line="289" w:lineRule="auto"/>
        <w:rPr>
          <w:sz w:val="20"/>
          <w:szCs w:val="20"/>
          <w:color w:val="auto"/>
        </w:rPr>
      </w:pPr>
      <w:r>
        <w:rPr>
          <w:rFonts w:ascii="Times New Roman" w:cs="Times New Roman" w:eastAsia="Times New Roman" w:hAnsi="Times New Roman"/>
          <w:sz w:val="17"/>
          <w:szCs w:val="17"/>
          <w:color w:val="auto"/>
        </w:rPr>
        <w:t>We have evaluated our operations under ASC 280-10-50-1 – Segment Reporting and have concluded that we are operating as one segment based on several key factors, including the reporting and review process used by the chief operating decision maker, or CODM, who reviews only consolidated financial information and makes decisions to allocate resources based on those financial statements. Our CODM is our Chief Executive Officer.</w:t>
      </w:r>
    </w:p>
    <w:p>
      <w:pPr>
        <w:spacing w:after="0" w:line="15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analyze revenue streams in various ways, including customer group, brands, product categories, and customer channels. See also Note 2 – Summary of Significant Accounting Policies for more information on how we disaggregate our net sales.</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CODM uses consolidated net income to set budgets, evaluate margins, review actual results and in deciding whether to reinvest profits and cash flows into our business, repurchase our stock, pursue acquisitions, or make any other capital management decisions. Consolidated net income is the measure of segment profit most consistent with U.S. GAAP that is regularly reviewed by the CODM to allocate resources and assess performance.</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Significant segment level expense information provided to the CODM is consistent with our consolidated statements of operations, as presented on the accompanying consolidated statements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measure of segment assets is reported on the accompanying consolidated balance sheet as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9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ind w:right="80" w:firstLine="1134"/>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for the three and six months ended October 31, 2025 and 2024 should be read in conjunction with Management’s Discussion and Analysis of Financial Condition and Results of Operations in our Annual Report on Form 10-K for fiscal year ended April 30, 2025. This discussion and analysis should also be read in conjunction with our unaudited condensed consolidated financial statements and the notes thereto included in Item 1 of this Quarterly Report on Form 10-Q.</w:t>
      </w:r>
    </w:p>
    <w:p>
      <w:pPr>
        <w:spacing w:after="0" w:line="180" w:lineRule="exact"/>
        <w:rPr>
          <w:sz w:val="20"/>
          <w:szCs w:val="20"/>
          <w:color w:val="auto"/>
        </w:rPr>
      </w:pPr>
    </w:p>
    <w:p>
      <w:pPr>
        <w:ind w:right="200" w:firstLine="1134"/>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those discussed above in “Statement Regarding Forward-Looking Information” in this Form 10-Q. In addition, this section sets forth key objectives and performance indicators used by us, as well as key industry data tracked by us.</w:t>
      </w:r>
    </w:p>
    <w:p>
      <w:pPr>
        <w:spacing w:after="0" w:line="166" w:lineRule="exact"/>
        <w:rPr>
          <w:sz w:val="20"/>
          <w:szCs w:val="20"/>
          <w:color w:val="auto"/>
        </w:rPr>
      </w:pPr>
    </w:p>
    <w:p>
      <w:pPr>
        <w:ind w:right="260" w:firstLine="1134"/>
        <w:spacing w:after="0" w:line="250" w:lineRule="auto"/>
        <w:rPr>
          <w:sz w:val="20"/>
          <w:szCs w:val="20"/>
          <w:color w:val="auto"/>
        </w:rPr>
      </w:pPr>
      <w:r>
        <w:rPr>
          <w:rFonts w:ascii="Times New Roman" w:cs="Times New Roman" w:eastAsia="Times New Roman" w:hAnsi="Times New Roman"/>
          <w:sz w:val="18"/>
          <w:szCs w:val="18"/>
          <w:color w:val="auto"/>
        </w:rPr>
        <w:t>The following discussion and analysis includes references to net sales of our products in shooting sports and outdoor lifestyle categories. Our shooting sports category includes net sales of shooting accessories and our products used for personal protection. Our outdoor lifestyle category includes net sales of our products used in hunting, fishing, camping, rugged outdoor activities, and outdoor cooking.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2026 Highlights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operating results for the three months ended October 31, 2025 included the following:</w:t>
      </w:r>
    </w:p>
    <w:p>
      <w:pPr>
        <w:spacing w:after="0" w:line="117" w:lineRule="exact"/>
        <w:rPr>
          <w:sz w:val="20"/>
          <w:szCs w:val="20"/>
          <w:color w:val="auto"/>
        </w:rPr>
      </w:pPr>
    </w:p>
    <w:p>
      <w:pPr>
        <w:ind w:left="1460" w:hanging="318"/>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$57.2 million, a decrease of $3.0 million or 5.0%, from the comparable quarter last year.</w:t>
      </w:r>
    </w:p>
    <w:p>
      <w:pPr>
        <w:spacing w:after="0" w:line="2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45.6%, a decrease of 240 basis points, from the comparable quarter last year.</w:t>
      </w:r>
    </w:p>
    <w:p>
      <w:pPr>
        <w:spacing w:after="0" w:line="9" w:lineRule="exact"/>
        <w:rPr>
          <w:rFonts w:ascii="Times New Roman" w:cs="Times New Roman" w:eastAsia="Times New Roman" w:hAnsi="Times New Roman"/>
          <w:sz w:val="18"/>
          <w:szCs w:val="18"/>
          <w:color w:val="auto"/>
        </w:rPr>
      </w:pPr>
    </w:p>
    <w:p>
      <w:pPr>
        <w:ind w:left="1460" w:right="140" w:hanging="318"/>
        <w:spacing w:after="0" w:line="250"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$2.1 million, or $0.16 per diluted share, compared with net income of $3.1 million, or $0.24 per diluted share, for the comparable quarter last year.</w:t>
      </w:r>
    </w:p>
    <w:p>
      <w:pPr>
        <w:ind w:left="1460" w:right="20" w:hanging="318"/>
        <w:spacing w:after="0" w:line="250"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$6.5 million for the three months ended October 31, 2025 compared with $7.5 million for the three months ended October 31, 2024. See non-GAAP financial measure disclosures below for our reconciliation of non-GAAP Adjusted</w:t>
      </w: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operating results for the six months ended October 31, 2025 included the following:</w:t>
      </w:r>
    </w:p>
    <w:p>
      <w:pPr>
        <w:spacing w:after="0" w:line="225" w:lineRule="exact"/>
        <w:rPr>
          <w:sz w:val="20"/>
          <w:szCs w:val="20"/>
          <w:color w:val="auto"/>
        </w:rPr>
      </w:pPr>
    </w:p>
    <w:p>
      <w:pPr>
        <w:ind w:left="1460" w:hanging="318"/>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$86.9 million, a decrease of $15.0 million or 14.7%, from the prior year comparable period.</w:t>
      </w:r>
    </w:p>
    <w:p>
      <w:pPr>
        <w:spacing w:after="0" w:line="2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46.0%, a decrease of 100 basis points, from the prior year comparable period.</w:t>
      </w:r>
    </w:p>
    <w:p>
      <w:pPr>
        <w:spacing w:after="0" w:line="9" w:lineRule="exact"/>
        <w:rPr>
          <w:rFonts w:ascii="Times New Roman" w:cs="Times New Roman" w:eastAsia="Times New Roman" w:hAnsi="Times New Roman"/>
          <w:sz w:val="18"/>
          <w:szCs w:val="18"/>
          <w:color w:val="auto"/>
        </w:rPr>
      </w:pPr>
    </w:p>
    <w:p>
      <w:pPr>
        <w:ind w:left="1460" w:right="80" w:hanging="318"/>
        <w:spacing w:after="0" w:line="250"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$4.8 million, or $(0.37) per diluted share, compared with net income of $746,000, or $0.06 per diluted share, for the prior year comparable period.</w:t>
      </w:r>
    </w:p>
    <w:p>
      <w:pPr>
        <w:jc w:val="both"/>
        <w:ind w:left="1460" w:right="280" w:hanging="318"/>
        <w:spacing w:after="0" w:line="250"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$3.4 million for the six months ended October 31, 2025 compared with $9.5 million for the six months ended October 31, 2024. See non-GAAP financial measure disclosures below for our reconciliation of non-GAAP Adjusted</w:t>
      </w: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consolidated net sales and gross profit for the three months ended October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(dollars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76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57,199</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60,232</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31,102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31,325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47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26,097</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28,907</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918"/>
        </w:trPr>
        <w:tc>
          <w:tcPr>
            <w:tcW w:w="4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4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-1139190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-1490980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three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e-commerce channel net sales</w:t>
            </w:r>
          </w:p>
        </w:tc>
        <w:tc>
          <w:tcPr>
            <w:tcW w:w="880" w:type="dxa"/>
            <w:vAlign w:val="bottom"/>
            <w:tcBorders>
              <w:bottom w:val="single" w:sz="8" w:color="CFF0FC"/>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20,422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Traditional channel net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36,778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9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57,199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9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-179705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-530860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right="160" w:firstLine="1134"/>
        <w:spacing w:after="0" w:line="261" w:lineRule="auto"/>
        <w:rPr>
          <w:sz w:val="20"/>
          <w:szCs w:val="20"/>
          <w:color w:val="auto"/>
        </w:rPr>
      </w:pPr>
      <w:r>
        <w:rPr>
          <w:rFonts w:ascii="Times New Roman" w:cs="Times New Roman" w:eastAsia="Times New Roman" w:hAnsi="Times New Roman"/>
          <w:sz w:val="18"/>
          <w:szCs w:val="18"/>
          <w:color w:val="auto"/>
        </w:rPr>
        <w:t>Our e-commerce channel include net sales from customers that do not traditionally operate physical brick-and-mortar stores, but generate the majority of their revenue from consumer purchases from their retail websites. Our e-commerce channel also include our direct-to-consumer sales. Our traditional channel include customers that primarily operate out of physical brick-and-mortar stores and generate the large majority of revenue from consumer purchases in their brick-and-mortar locations. We sell our products worldwide.</w:t>
      </w:r>
    </w:p>
    <w:p>
      <w:pPr>
        <w:spacing w:after="0" w:line="180"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geographic makeup of net sales included in the above table for the three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6"/>
                <w:szCs w:val="16"/>
                <w:color w:val="auto"/>
              </w:rPr>
            </w:pPr>
          </w:p>
        </w:tc>
        <w:tc>
          <w:tcPr>
            <w:tcW w:w="16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net sales</w:t>
            </w:r>
          </w:p>
        </w:tc>
        <w:tc>
          <w:tcPr>
            <w:tcW w:w="900" w:type="dxa"/>
            <w:vAlign w:val="bottom"/>
            <w:tcBorders>
              <w:bottom w:val="single" w:sz="8" w:color="CFF0FC"/>
            </w:tcBorders>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54,398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56,847</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 sales</w:t>
            </w: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2,801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492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900" w:type="dxa"/>
            <w:vAlign w:val="bottom"/>
            <w:tcBorders>
              <w:bottom w:val="single" w:sz="8" w:color="CFF0FC"/>
            </w:tcBorders>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57,199</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95"/>
        </w:trPr>
        <w:tc>
          <w:tcPr>
            <w:tcW w:w="11240" w:type="dxa"/>
            <w:vAlign w:val="bottom"/>
            <w:gridSpan w:val="16"/>
          </w:tcPr>
          <w:p>
            <w:pPr>
              <w:jc w:val="right"/>
              <w:ind w:right="308"/>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sales categories for the three months ended October 31, 2025 and 2024</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5"/>
        </w:trPr>
        <w:tc>
          <w:tcPr>
            <w:tcW w:w="49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24"/>
                <w:szCs w:val="24"/>
                <w:color w:val="auto"/>
              </w:rPr>
            </w:pPr>
          </w:p>
        </w:tc>
        <w:tc>
          <w:tcPr>
            <w:tcW w:w="16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Shooting sports net sales</w:t>
            </w:r>
          </w:p>
        </w:tc>
        <w:tc>
          <w:tcPr>
            <w:tcW w:w="900" w:type="dxa"/>
            <w:vAlign w:val="bottom"/>
            <w:tcBorders>
              <w:bottom w:val="single" w:sz="8" w:color="CFF0FC"/>
            </w:tcBorders>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22,591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lifestyle net sales</w:t>
            </w: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34,608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9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90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57,199</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9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-1473835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-1824990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-530860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59" w:lineRule="exact"/>
        <w:rPr>
          <w:sz w:val="20"/>
          <w:szCs w:val="20"/>
          <w:color w:val="auto"/>
        </w:rPr>
      </w:pPr>
    </w:p>
    <w:p>
      <w:pPr>
        <w:ind w:right="200" w:firstLine="1134"/>
        <w:spacing w:after="0" w:line="245" w:lineRule="auto"/>
        <w:rPr>
          <w:sz w:val="20"/>
          <w:szCs w:val="20"/>
          <w:color w:val="auto"/>
        </w:rPr>
      </w:pPr>
      <w:r>
        <w:rPr>
          <w:rFonts w:ascii="Times New Roman" w:cs="Times New Roman" w:eastAsia="Times New Roman" w:hAnsi="Times New Roman"/>
          <w:sz w:val="18"/>
          <w:szCs w:val="18"/>
          <w:color w:val="auto"/>
        </w:rPr>
        <w:t>For the three months ended October 31, 2025, total net sales decreased $3.0 million, or 5.0%, from the comparable quarter last year with lower net sales in both our shooting sports and outdoor lifestyle categories, primarily from lower e-commerce channel net sales. The decrease in net sales was partially offset by price increases on our products to mitigate additional tariff costs associated with tariffs imposed by the U.S. Administration in March and April of 2025.</w:t>
      </w:r>
    </w:p>
    <w:p>
      <w:pPr>
        <w:spacing w:after="0" w:line="221" w:lineRule="exact"/>
        <w:rPr>
          <w:sz w:val="20"/>
          <w:szCs w:val="20"/>
          <w:color w:val="auto"/>
        </w:rPr>
      </w:pPr>
    </w:p>
    <w:p>
      <w:pPr>
        <w:jc w:val="both"/>
        <w:ind w:right="200" w:firstLine="1134"/>
        <w:spacing w:after="0" w:line="266" w:lineRule="auto"/>
        <w:rPr>
          <w:sz w:val="20"/>
          <w:szCs w:val="20"/>
          <w:color w:val="auto"/>
        </w:rPr>
      </w:pPr>
      <w:r>
        <w:rPr>
          <w:rFonts w:ascii="Times New Roman" w:cs="Times New Roman" w:eastAsia="Times New Roman" w:hAnsi="Times New Roman"/>
          <w:sz w:val="18"/>
          <w:szCs w:val="18"/>
          <w:color w:val="auto"/>
        </w:rPr>
        <w:t>Net sales in our e-commerce channel decreased $3.9 million, or 15.9%, from the comparable quarter last year, primarily because of lower net sales to the world's largest online retailer. We believe this decline reflects their inventory management actions, which reduced net sales across most of our products. In addition, we had lower direct-to-consumer net sales for products sold on our websites due to reduced consumer demand.</w:t>
      </w:r>
    </w:p>
    <w:p>
      <w:pPr>
        <w:spacing w:after="0" w:line="176" w:lineRule="exact"/>
        <w:rPr>
          <w:sz w:val="20"/>
          <w:szCs w:val="20"/>
          <w:color w:val="auto"/>
        </w:rPr>
      </w:pPr>
    </w:p>
    <w:p>
      <w:pPr>
        <w:jc w:val="both"/>
        <w:ind w:right="280" w:firstLine="1134"/>
        <w:spacing w:after="0" w:line="266" w:lineRule="auto"/>
        <w:rPr>
          <w:sz w:val="20"/>
          <w:szCs w:val="20"/>
          <w:color w:val="auto"/>
        </w:rPr>
      </w:pPr>
      <w:r>
        <w:rPr>
          <w:rFonts w:ascii="Times New Roman" w:cs="Times New Roman" w:eastAsia="Times New Roman" w:hAnsi="Times New Roman"/>
          <w:sz w:val="18"/>
          <w:szCs w:val="18"/>
          <w:color w:val="auto"/>
        </w:rPr>
        <w:t>Net sales in our traditional channel increased by $828,000, or 2.3%, compared to the same quarter last year, driven primarily by stronger hunting and outdoor cooking product sales within our outdoor lifestyle category. This growth was partially offset by lower sales of our meat processing equipment.</w:t>
      </w:r>
    </w:p>
    <w:p>
      <w:pPr>
        <w:spacing w:after="0" w:line="176" w:lineRule="exact"/>
        <w:rPr>
          <w:sz w:val="20"/>
          <w:szCs w:val="20"/>
          <w:color w:val="auto"/>
        </w:rPr>
      </w:pPr>
    </w:p>
    <w:p>
      <w:pPr>
        <w:ind w:right="120" w:firstLine="1134"/>
        <w:spacing w:after="0" w:line="282" w:lineRule="auto"/>
        <w:rPr>
          <w:sz w:val="20"/>
          <w:szCs w:val="20"/>
          <w:color w:val="auto"/>
        </w:rPr>
      </w:pPr>
      <w:r>
        <w:rPr>
          <w:rFonts w:ascii="Times New Roman" w:cs="Times New Roman" w:eastAsia="Times New Roman" w:hAnsi="Times New Roman"/>
          <w:sz w:val="18"/>
          <w:szCs w:val="18"/>
          <w:color w:val="auto"/>
        </w:rPr>
        <w:t>New products, which we define as any SKU introduced over the prior two fiscal years, represented 31.4% of net sales for the three months ended October 31, 2025.</w:t>
      </w:r>
    </w:p>
    <w:p>
      <w:pPr>
        <w:spacing w:after="0" w:line="148" w:lineRule="exact"/>
        <w:rPr>
          <w:sz w:val="20"/>
          <w:szCs w:val="20"/>
          <w:color w:val="auto"/>
        </w:rPr>
      </w:pPr>
    </w:p>
    <w:p>
      <w:pPr>
        <w:jc w:val="both"/>
        <w:ind w:right="420" w:firstLine="1134"/>
        <w:spacing w:after="0" w:line="250" w:lineRule="auto"/>
        <w:rPr>
          <w:sz w:val="20"/>
          <w:szCs w:val="20"/>
          <w:color w:val="auto"/>
        </w:rPr>
      </w:pPr>
      <w:r>
        <w:rPr>
          <w:rFonts w:ascii="Times New Roman" w:cs="Times New Roman" w:eastAsia="Times New Roman" w:hAnsi="Times New Roman"/>
          <w:sz w:val="18"/>
          <w:szCs w:val="18"/>
          <w:color w:val="auto"/>
        </w:rPr>
        <w:t>Gross margin for the three months ended October 31, 2025 decreased 240 basis points over the comparable quarter last year, primarily because of higher promotional activity, including sales of slow-moving inventory at low margins; increased depreciation expense; and higher inbound freight and tariff costs.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0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consolidated net sales and gross profit for the six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12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86,901</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101,875</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46,945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54,043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4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39,956</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47,832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4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-179705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-530860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46.0%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35"/>
        </w:trPr>
        <w:tc>
          <w:tcPr>
            <w:tcW w:w="11240" w:type="dxa"/>
            <w:vAlign w:val="bottom"/>
            <w:gridSpan w:val="11"/>
          </w:tcPr>
          <w:p>
            <w:pPr>
              <w:ind w:left="11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six months ended October 31, 2025 and 2024</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5"/>
        </w:trPr>
        <w:tc>
          <w:tcPr>
            <w:tcW w:w="49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e-commerce channel net sales</w:t>
            </w:r>
          </w:p>
        </w:tc>
        <w:tc>
          <w:tcPr>
            <w:tcW w:w="880" w:type="dxa"/>
            <w:vAlign w:val="bottom"/>
            <w:tcBorders>
              <w:bottom w:val="single" w:sz="8" w:color="CFF0FC"/>
            </w:tcBorders>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31,113</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40,783</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Traditional channel net sales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55,789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49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86,901</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101,875</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49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-179070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-530860</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9" w:lineRule="exact"/>
        <w:rPr>
          <w:sz w:val="20"/>
          <w:szCs w:val="20"/>
          <w:color w:val="auto"/>
        </w:rPr>
      </w:pPr>
    </w:p>
    <w:p>
      <w:pPr>
        <w:ind w:right="16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geographic makeup of net sales included in the above table for the six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4"/>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net sales</w:t>
            </w: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82,247</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net sales</w:t>
            </w:r>
          </w:p>
        </w:tc>
        <w:tc>
          <w:tcPr>
            <w:tcW w:w="880" w:type="dxa"/>
            <w:vAlign w:val="bottom"/>
          </w:tcPr>
          <w:p>
            <w:pPr>
              <w:spacing w:after="0"/>
              <w:rPr>
                <w:sz w:val="21"/>
                <w:szCs w:val="21"/>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7"/>
        </w:trPr>
        <w:tc>
          <w:tcPr>
            <w:tcW w:w="49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86,901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101,875</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508"/>
        </w:trPr>
        <w:tc>
          <w:tcPr>
            <w:tcW w:w="11240" w:type="dxa"/>
            <w:vAlign w:val="bottom"/>
            <w:gridSpan w:val="16"/>
          </w:tcPr>
          <w:p>
            <w:pPr>
              <w:jc w:val="right"/>
              <w:ind w:right="455"/>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sales categories for the six months ended October 31, 2025 and 2024</w:t>
            </w:r>
          </w:p>
        </w:tc>
      </w:t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5"/>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4"/>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Shooting sports net sales</w:t>
            </w: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36,574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Outdoor lifestyle net sales</w:t>
            </w:r>
          </w:p>
        </w:tc>
        <w:tc>
          <w:tcPr>
            <w:tcW w:w="88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50,327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492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86,901</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101,875</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49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-1482090</wp:posOffset>
            </wp:positionV>
            <wp:extent cx="59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-1833880</wp:posOffset>
            </wp:positionV>
            <wp:extent cx="59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-530860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9" w:lineRule="exact"/>
        <w:rPr>
          <w:sz w:val="20"/>
          <w:szCs w:val="20"/>
          <w:color w:val="auto"/>
        </w:rPr>
      </w:pPr>
    </w:p>
    <w:p>
      <w:pPr>
        <w:ind w:right="220" w:firstLine="1134"/>
        <w:spacing w:after="0" w:line="239" w:lineRule="auto"/>
        <w:rPr>
          <w:sz w:val="20"/>
          <w:szCs w:val="20"/>
          <w:color w:val="auto"/>
        </w:rPr>
      </w:pPr>
      <w:r>
        <w:rPr>
          <w:rFonts w:ascii="Times New Roman" w:cs="Times New Roman" w:eastAsia="Times New Roman" w:hAnsi="Times New Roman"/>
          <w:sz w:val="18"/>
          <w:szCs w:val="18"/>
          <w:color w:val="auto"/>
        </w:rPr>
        <w:t>For the six months ended October 31, 2025, total net sales decreased $15.0 million, or 14.7%, from the prior year comparable period. We believe the decrease in net sales was primarily a result of certain customers in our traditional channel accelerating into our fourth fiscal quarter of 2025 orders that we had originally planned to receive in our first fiscal quarter of 2026, which we believe was due to the anticipated increased costs associated with tariffs imposed by the U.S. Administration in March and April of 2025. The decrease in net sales was partially offset by price increases on our products to mitigate the additional tariff costs.</w:t>
      </w:r>
    </w:p>
    <w:p>
      <w:pPr>
        <w:spacing w:after="0" w:line="225" w:lineRule="exact"/>
        <w:rPr>
          <w:sz w:val="20"/>
          <w:szCs w:val="20"/>
          <w:color w:val="auto"/>
        </w:rPr>
      </w:pPr>
    </w:p>
    <w:p>
      <w:pPr>
        <w:ind w:right="140" w:firstLine="1134"/>
        <w:spacing w:after="0" w:line="282" w:lineRule="auto"/>
        <w:rPr>
          <w:sz w:val="20"/>
          <w:szCs w:val="20"/>
          <w:color w:val="auto"/>
        </w:rPr>
      </w:pPr>
      <w:r>
        <w:rPr>
          <w:rFonts w:ascii="Times New Roman" w:cs="Times New Roman" w:eastAsia="Times New Roman" w:hAnsi="Times New Roman"/>
          <w:sz w:val="18"/>
          <w:szCs w:val="18"/>
          <w:color w:val="auto"/>
        </w:rPr>
        <w:t>Net sales in our e-commerce channel decreased $9.7 million, or 23.7%, from the prior year comparable period, primarily because of lower net sales to the world's largest online retailer that resulted in lower net sales for the majority of our product categories.</w:t>
      </w:r>
    </w:p>
    <w:p>
      <w:pPr>
        <w:spacing w:after="0" w:line="162" w:lineRule="exact"/>
        <w:rPr>
          <w:sz w:val="20"/>
          <w:szCs w:val="20"/>
          <w:color w:val="auto"/>
        </w:rPr>
      </w:pPr>
    </w:p>
    <w:p>
      <w:pPr>
        <w:ind w:right="320" w:firstLine="1134"/>
        <w:spacing w:after="0" w:line="261" w:lineRule="auto"/>
        <w:rPr>
          <w:sz w:val="20"/>
          <w:szCs w:val="20"/>
          <w:color w:val="auto"/>
        </w:rPr>
      </w:pPr>
      <w:r>
        <w:rPr>
          <w:rFonts w:ascii="Times New Roman" w:cs="Times New Roman" w:eastAsia="Times New Roman" w:hAnsi="Times New Roman"/>
          <w:sz w:val="18"/>
          <w:szCs w:val="18"/>
          <w:color w:val="auto"/>
        </w:rPr>
        <w:t>Net sales in our traditional channel decreased $5.3 million, or 8.7%, from the prior year comparable period, which we believe is from acceleration of orders into our fourth fiscal quarter of 2025, as mentioned above. Traditional channel net sales decreased primarily because of lower net sales of the majority of our product categories, partially offset by higher personal protection product sales in our shooting sports category and outdoor cooking product sales in our outdoor lifestyle category.</w:t>
      </w:r>
    </w:p>
    <w:p>
      <w:pPr>
        <w:spacing w:after="0" w:line="180" w:lineRule="exact"/>
        <w:rPr>
          <w:sz w:val="20"/>
          <w:szCs w:val="20"/>
          <w:color w:val="auto"/>
        </w:rPr>
      </w:pPr>
    </w:p>
    <w:p>
      <w:pPr>
        <w:ind w:right="260" w:firstLine="1134"/>
        <w:spacing w:after="0" w:line="282" w:lineRule="auto"/>
        <w:rPr>
          <w:sz w:val="20"/>
          <w:szCs w:val="20"/>
          <w:color w:val="auto"/>
        </w:rPr>
      </w:pPr>
      <w:r>
        <w:rPr>
          <w:rFonts w:ascii="Times New Roman" w:cs="Times New Roman" w:eastAsia="Times New Roman" w:hAnsi="Times New Roman"/>
          <w:sz w:val="18"/>
          <w:szCs w:val="18"/>
          <w:color w:val="auto"/>
        </w:rPr>
        <w:t>New products, which we define as any SKU introduced over the prior two fiscal years, represented 30.5% of net sales for the six months ended October 31,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80" w:firstLine="1134"/>
        <w:spacing w:after="0" w:line="266" w:lineRule="auto"/>
        <w:rPr>
          <w:sz w:val="20"/>
          <w:szCs w:val="20"/>
          <w:color w:val="auto"/>
        </w:rPr>
      </w:pPr>
      <w:r>
        <w:rPr>
          <w:rFonts w:ascii="Times New Roman" w:cs="Times New Roman" w:eastAsia="Times New Roman" w:hAnsi="Times New Roman"/>
          <w:sz w:val="18"/>
          <w:szCs w:val="18"/>
          <w:color w:val="auto"/>
        </w:rPr>
        <w:t>Gross margin for the six months ended October 31, 2025 decreased 100 basis points from the prior year comparable period, primarily because of higher promotional activity as well as higher depreciation, freight, and tariff costs.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40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7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38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14,331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14,973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8,453</w:t>
            </w:r>
          </w:p>
        </w:tc>
        <w:tc>
          <w:tcPr>
            <w:tcW w:w="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8,998</w:t>
            </w:r>
          </w:p>
        </w:tc>
        <w:tc>
          <w:tcPr>
            <w:tcW w:w="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24,006</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25,837</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of net sales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r>
      <w:tr>
        <w:trPr>
          <w:trHeight w:val="27"/>
        </w:trPr>
        <w:tc>
          <w:tcPr>
            <w:tcW w:w="47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r>
    </w:tbl>
    <w:p>
      <w:pPr>
        <w:spacing w:after="0" w:line="292" w:lineRule="exact"/>
        <w:rPr>
          <w:sz w:val="20"/>
          <w:szCs w:val="20"/>
          <w:color w:val="auto"/>
        </w:rPr>
      </w:pPr>
    </w:p>
    <w:p>
      <w:pPr>
        <w:ind w:firstLine="113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$644,000 from the comparable quarter last year, primarily from lower depreciation expense. Selling, marketing, and distribution expenses decreased $642,000 from the comparable quarter last year mainly because of lower sales-volume related expenses, including compensation-related expenses. General and administrative expenses decreased $545,000 from the comparable quarter last year, primarily because of lower variable compensation-related expenses and acquired intangible amortization expense, partially offset by higher public company costs.</w:t>
      </w:r>
    </w:p>
    <w:p>
      <w:pPr>
        <w:spacing w:after="0" w:line="183" w:lineRule="exact"/>
        <w:rPr>
          <w:sz w:val="20"/>
          <w:szCs w:val="20"/>
          <w:color w:val="auto"/>
        </w:rPr>
      </w:pPr>
    </w:p>
    <w:p>
      <w:pPr>
        <w:ind w:right="56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six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7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3,177</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38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24,851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26,356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16,655</w:t>
            </w:r>
          </w:p>
        </w:tc>
        <w:tc>
          <w:tcPr>
            <w:tcW w:w="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17,439</w:t>
            </w:r>
          </w:p>
        </w:tc>
        <w:tc>
          <w:tcPr>
            <w:tcW w:w="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44,683</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47,335</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of net sales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r>
      <w:tr>
        <w:trPr>
          <w:trHeight w:val="27"/>
        </w:trPr>
        <w:tc>
          <w:tcPr>
            <w:tcW w:w="47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r>
    </w:tbl>
    <w:p>
      <w:pPr>
        <w:spacing w:after="0" w:line="279" w:lineRule="exact"/>
        <w:rPr>
          <w:sz w:val="20"/>
          <w:szCs w:val="20"/>
          <w:color w:val="auto"/>
        </w:rPr>
      </w:pPr>
    </w:p>
    <w:p>
      <w:pPr>
        <w:ind w:right="40" w:firstLine="113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$363,000 from the prior year comparable period, primarily from lower depreciation expense. Selling, marketing, and distribution expenses decreased $1.5 million from the prior year comparable period mainly because of lower sales-volume related expenses, including compensation-related expenses. General and administrative expenses decreased $784,000 from the prior year comparable period, primarily because of lower variable compensation-related expenses and acquired intangible amortization expense, partially offset by higher public company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Income/(Loss)</w:t>
      </w:r>
    </w:p>
    <w:p>
      <w:pPr>
        <w:spacing w:after="0" w:line="121" w:lineRule="exact"/>
        <w:rPr>
          <w:sz w:val="20"/>
          <w:szCs w:val="20"/>
          <w:color w:val="auto"/>
        </w:rPr>
      </w:pPr>
    </w:p>
    <w:p>
      <w:pPr>
        <w:ind w:right="52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7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Borders>
              <w:bottom w:val="single" w:sz="8" w:color="CFF0FC"/>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-333375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jc w:val="both"/>
        <w:ind w:right="500" w:firstLine="1134"/>
        <w:spacing w:after="0" w:line="282" w:lineRule="auto"/>
        <w:rPr>
          <w:sz w:val="20"/>
          <w:szCs w:val="20"/>
          <w:color w:val="auto"/>
        </w:rPr>
      </w:pPr>
      <w:r>
        <w:rPr>
          <w:rFonts w:ascii="Times New Roman" w:cs="Times New Roman" w:eastAsia="Times New Roman" w:hAnsi="Times New Roman"/>
          <w:sz w:val="18"/>
          <w:szCs w:val="18"/>
          <w:color w:val="auto"/>
        </w:rPr>
        <w:t>Operating income for the three months ended October 31, 2025 was $979,000 lower as compared to the comparable quarter last year primarily from lower net sales volume that resulted in $2.8 million of lower gross profit, partially offset by $1.8 million of lower operating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(loss)/income for the six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74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(loss)/income</w:t>
            </w:r>
          </w:p>
        </w:tc>
        <w:tc>
          <w:tcPr>
            <w:tcW w:w="960" w:type="dxa"/>
            <w:vAlign w:val="bottom"/>
            <w:tcBorders>
              <w:bottom w:val="single" w:sz="8" w:color="CFF0FC"/>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(4,727)</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(1,051.1%)</w:t>
            </w: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-334010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ind w:right="140" w:firstLine="1134"/>
        <w:spacing w:after="0" w:line="266" w:lineRule="auto"/>
        <w:rPr>
          <w:sz w:val="20"/>
          <w:szCs w:val="20"/>
          <w:color w:val="auto"/>
        </w:rPr>
      </w:pPr>
      <w:r>
        <w:rPr>
          <w:rFonts w:ascii="Times New Roman" w:cs="Times New Roman" w:eastAsia="Times New Roman" w:hAnsi="Times New Roman"/>
          <w:sz w:val="18"/>
          <w:szCs w:val="18"/>
          <w:color w:val="auto"/>
        </w:rPr>
        <w:t>We recorded an operating loss of $4.7 million for the six months ended October 31, 2025 as compared to operating income of $497,000 in the prior year comparable period. The decrease in operating income is primarily because of lower net sales volume that resulted in $7.9 million of lower gross profit, partially offset by $2.7 million of lower operating expenses.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4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benefit for the three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860" w:type="dxa"/>
            <w:vAlign w:val="bottom"/>
            <w:tcBorders>
              <w:bottom w:val="single" w:sz="8" w:color="CFF0FC"/>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CFF0FC"/>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1040" w:type="dxa"/>
            <w:vAlign w:val="bottom"/>
          </w:tcPr>
          <w:p>
            <w:pPr>
              <w:spacing w:after="0"/>
              <w:rPr>
                <w:sz w:val="21"/>
                <w:szCs w:val="21"/>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-334010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40" w:firstLine="1134"/>
        <w:spacing w:after="0" w:line="266" w:lineRule="auto"/>
        <w:rPr>
          <w:sz w:val="20"/>
          <w:szCs w:val="20"/>
          <w:color w:val="auto"/>
        </w:rPr>
      </w:pPr>
      <w:r>
        <w:rPr>
          <w:rFonts w:ascii="Times New Roman" w:cs="Times New Roman" w:eastAsia="Times New Roman" w:hAnsi="Times New Roman"/>
          <w:sz w:val="18"/>
          <w:szCs w:val="18"/>
          <w:color w:val="auto"/>
        </w:rPr>
        <w:t>We recorded no income tax expense for the three months ended October 31, 2025 compared with income tax expense of $12,000 for the comparable quarter last year. The income tax expense recorded for the three months ended October 31, 2025 and 2024 was primarily due to a full valuation allowance recorded against our deferred tax assets.</w:t>
      </w:r>
    </w:p>
    <w:p>
      <w:pPr>
        <w:spacing w:after="0" w:line="176" w:lineRule="exact"/>
        <w:rPr>
          <w:sz w:val="20"/>
          <w:szCs w:val="20"/>
          <w:color w:val="auto"/>
        </w:rPr>
      </w:pPr>
    </w:p>
    <w:p>
      <w:pPr>
        <w:ind w:right="58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benefit for the six months ended October 31, 2025 and 2024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82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4"/>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CFF0FC"/>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-334010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9" w:lineRule="exact"/>
        <w:rPr>
          <w:sz w:val="20"/>
          <w:szCs w:val="20"/>
          <w:color w:val="auto"/>
        </w:rPr>
      </w:pPr>
    </w:p>
    <w:p>
      <w:pPr>
        <w:ind w:right="120" w:firstLine="1134"/>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$53,000 for the six months ended October 31, 2025 compared with income tax expense of $34,000 for the prior year comparable period. The income tax expense recorded for the six months ended October 31, 2025 and 2024 was primarily due to a full valuation allowance recorded against our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121" w:lineRule="exact"/>
        <w:rPr>
          <w:sz w:val="20"/>
          <w:szCs w:val="20"/>
          <w:color w:val="auto"/>
        </w:rPr>
      </w:pPr>
    </w:p>
    <w:p>
      <w:pPr>
        <w:ind w:right="22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three months ended October 31, 2025 and 2024 (dollars 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CECFF"/>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CFF"/>
            </w:tcBorders>
            <w:shd w:val="clear" w:color="auto" w:fill="CCECFF"/>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-676275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-676275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9" w:lineRule="exact"/>
        <w:rPr>
          <w:sz w:val="20"/>
          <w:szCs w:val="20"/>
          <w:color w:val="auto"/>
        </w:rPr>
      </w:pPr>
    </w:p>
    <w:p>
      <w:pPr>
        <w:jc w:val="both"/>
        <w:ind w:right="240" w:firstLine="1134"/>
        <w:spacing w:after="0" w:line="266" w:lineRule="auto"/>
        <w:rPr>
          <w:sz w:val="20"/>
          <w:szCs w:val="20"/>
          <w:color w:val="auto"/>
        </w:rPr>
      </w:pPr>
      <w:r>
        <w:rPr>
          <w:rFonts w:ascii="Times New Roman" w:cs="Times New Roman" w:eastAsia="Times New Roman" w:hAnsi="Times New Roman"/>
          <w:sz w:val="18"/>
          <w:szCs w:val="18"/>
          <w:color w:val="auto"/>
        </w:rPr>
        <w:t>Net income was $2.1 million, or $0.16 per diluted share, for the three months ended October 31, 2025 compared with net income of $3.1 million, or $0.24 per diluted share, for the comparable quarter last year. The lower net income was primarily related to lower net sales volume and lower gross profit during the three months ended October 31, 2025 as compared to the three months ended October 31,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(loss)/income and the related per share data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 and 2024 (dollars 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4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4"/>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 per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CECFF"/>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CFF"/>
            </w:tcBorders>
            <w:shd w:val="clear" w:color="auto" w:fill="CCECFF"/>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w:t>
            </w: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-676910</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-676910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loss was $4.8 million, or $0.37 loss per diluted share, for the six months ended October 31, 2025 compared with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$746,000, or $0.06 per diluted share, for the prior year comparable period. The net loss was primarily related to lower net sales volume and lower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during the six months ended October 31, 2025 as compared to the six months ended October 31, 2024.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ind w:right="40" w:firstLine="1134"/>
        <w:spacing w:after="0" w:line="253" w:lineRule="auto"/>
        <w:rPr>
          <w:sz w:val="20"/>
          <w:szCs w:val="20"/>
          <w:color w:val="auto"/>
        </w:rPr>
      </w:pPr>
      <w:r>
        <w:rPr>
          <w:rFonts w:ascii="Times New Roman" w:cs="Times New Roman" w:eastAsia="Times New Roman" w:hAnsi="Times New Roman"/>
          <w:sz w:val="18"/>
          <w:szCs w:val="18"/>
          <w:color w:val="auto"/>
        </w:rPr>
        <w:t>We use GAAP net income as our primary financial measure. We use Adjusted EBITDA, which is a non-GAAP financial metric, as a supplemental measure of our performance in order to provide investors with an improved understanding of underlying performance trends, and it should be considered in addition to, but not instead of, the financial statements prepared in accordance with GAAP. Adjusted EBITDA is defined as GAAP net income/(loss) before interest, taxes, depreciation, amortization, and stock compensation expense. Our Adjusted EBITDA calculation also excludes certain items we consider non-routine. We believe that Adjusted EBITDA is useful to understanding our operating results and the ongoing performance of our underlying business, as Adjusted EBITDA provides information on our ability to meet our capital expenditure and working capital requirements, and is also an indicator of profitability. We believe this reporting provides additional transparency and comparability to our operating results. We believe that the presentation of Adjusted EBITDA is useful to investors because it is frequently used by analysts, investors, and other interested parties to evaluate companies in our industry. We use Adjusted EBITDA to supplement GAAP measures of performance to evaluate the effectiveness of our business strategies, to make budgeting decisions, and to neutralize our capitalization structure to compare our performance against that of other peer companies using similar measures, especially companies that are private. We also use Adjusted EBITDA to supplement GAAP measures of performance to evaluate our performance in connection with compensation decisions. We believe it is useful to investors and analysts to evaluate this non-GAAP measure on the same basis as we use to evaluate our operating results.</w:t>
      </w:r>
    </w:p>
    <w:p>
      <w:pPr>
        <w:spacing w:after="0" w:line="187" w:lineRule="exact"/>
        <w:rPr>
          <w:sz w:val="20"/>
          <w:szCs w:val="20"/>
          <w:color w:val="auto"/>
        </w:rPr>
      </w:pPr>
    </w:p>
    <w:p>
      <w:pPr>
        <w:ind w:right="80" w:firstLine="1134"/>
        <w:spacing w:after="0" w:line="258" w:lineRule="auto"/>
        <w:rPr>
          <w:sz w:val="20"/>
          <w:szCs w:val="20"/>
          <w:color w:val="auto"/>
        </w:rPr>
      </w:pPr>
      <w:r>
        <w:rPr>
          <w:rFonts w:ascii="Times New Roman" w:cs="Times New Roman" w:eastAsia="Times New Roman" w:hAnsi="Times New Roman"/>
          <w:sz w:val="18"/>
          <w:szCs w:val="18"/>
          <w:color w:val="auto"/>
        </w:rPr>
        <w:t>Adjusted EBITDA is a non-GAAP measure and may not be comparable to similar measures reported by other companies. In addition, non-GAAP measures have limitations as analytical tools, and you should not consider them in isolation or as a substitute for analysis of our results as reported under GAAP. We address the limitations of non-GAAP measures through the use of various GAAP measures. In the future, we may incur expenses or charges such as those added back to calculate Adjusted EBITDA. Our presentation of Adjusted EBITDA should not be construed as an inference that our future results will be unaffected by these items.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calculation of non-GAAP Adjusted EBITDA for the three and six months ended October 31, 2025 and 2024, respectively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1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400" w:type="dxa"/>
            <w:vAlign w:val="bottom"/>
          </w:tcPr>
          <w:p>
            <w:pPr>
              <w:spacing w:after="0"/>
              <w:rPr>
                <w:sz w:val="16"/>
                <w:szCs w:val="16"/>
                <w:color w:val="auto"/>
              </w:rPr>
            </w:pPr>
          </w:p>
        </w:tc>
        <w:tc>
          <w:tcPr>
            <w:tcW w:w="28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r>
      <w:tr>
        <w:trPr>
          <w:trHeight w:val="37"/>
        </w:trPr>
        <w:tc>
          <w:tcPr>
            <w:tcW w:w="49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4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9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7"/>
        </w:trPr>
        <w:tc>
          <w:tcPr>
            <w:tcW w:w="4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3"/>
          </w:tcPr>
          <w:p>
            <w:pPr>
              <w:jc w:val="center"/>
              <w:ind w:left="813"/>
              <w:spacing w:after="0"/>
              <w:rPr>
                <w:sz w:val="20"/>
                <w:szCs w:val="20"/>
                <w:color w:val="auto"/>
              </w:rPr>
            </w:pPr>
            <w:r>
              <w:rPr>
                <w:rFonts w:ascii="Times New Roman" w:cs="Times New Roman" w:eastAsia="Times New Roman" w:hAnsi="Times New Roman"/>
                <w:sz w:val="14"/>
                <w:szCs w:val="14"/>
                <w:color w:val="auto"/>
              </w:rPr>
              <w:t>(Unaudited)</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
        </w:trPr>
        <w:tc>
          <w:tcPr>
            <w:tcW w:w="4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GAAP net income/(loss)</w:t>
            </w:r>
          </w:p>
        </w:tc>
        <w:tc>
          <w:tcPr>
            <w:tcW w:w="920" w:type="dxa"/>
            <w:vAlign w:val="bottom"/>
            <w:tcBorders>
              <w:bottom w:val="single" w:sz="8" w:color="CFF0FC"/>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3"/>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expense/(income)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r>
      <w:tr>
        <w:trPr>
          <w:trHeight w:val="27"/>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43"/>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implementation</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Non-recurring inventory reserve adjustment</w:t>
            </w:r>
          </w:p>
        </w:tc>
        <w:tc>
          <w:tcPr>
            <w:tcW w:w="9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status transition costs</w:t>
            </w:r>
          </w:p>
        </w:tc>
        <w:tc>
          <w:tcPr>
            <w:tcW w:w="92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63"/>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Non-GAAP Adjusted EBITDA</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w:t>
            </w:r>
          </w:p>
        </w:tc>
      </w:tr>
      <w:tr>
        <w:trPr>
          <w:trHeight w:val="21"/>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60" w:firstLine="1134"/>
        <w:spacing w:after="0" w:line="266" w:lineRule="auto"/>
        <w:rPr>
          <w:sz w:val="20"/>
          <w:szCs w:val="20"/>
          <w:color w:val="auto"/>
        </w:rPr>
      </w:pPr>
      <w:r>
        <w:rPr>
          <w:rFonts w:ascii="Times New Roman" w:cs="Times New Roman" w:eastAsia="Times New Roman" w:hAnsi="Times New Roman"/>
          <w:sz w:val="18"/>
          <w:szCs w:val="18"/>
          <w:color w:val="auto"/>
        </w:rPr>
        <w:t>We expect to continue to utilize our cash flows to invest in our business, including research and development for new product initiatives; to hire additional employees; to fund growth strategies, including any potential acquisitions; to make payments on any indebtedness we may incur over time; and to repurchase shares of our common stock if we are authorized to do so.</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six months ended October 31, 2025 and 2024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92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6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flow</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On an annual basis, operating activities generally represent the principal source of our cash flow.</w:t>
      </w:r>
    </w:p>
    <w:p>
      <w:pPr>
        <w:spacing w:after="0" w:line="225" w:lineRule="exact"/>
        <w:rPr>
          <w:sz w:val="20"/>
          <w:szCs w:val="20"/>
          <w:color w:val="auto"/>
        </w:rPr>
      </w:pPr>
    </w:p>
    <w:p>
      <w:pPr>
        <w:ind w:right="120" w:firstLine="1134"/>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was $15.0 million for the six months ended October 31, 2025 compared with cash used in operating activities of $12.3 million for the six months ended October 31, 2024. Cash used by operating activities for the six months ended October 31, 2025 was primarily impacted by $4.1 million of lower accrued payroll and incentives because of timing of payroll accruals and the annual payment of management incentives and $19.3 million of increased inventory. The increase in inventory was a result of planned increase in purchases to prepare for the fall and winter hunting and holiday seasons as well as new product launches later in the fiscal year. In addition, we capitalized higher tariff costs into inventory for tariffs imposed on inventory purchases for product manufactured in China. The cash usage for the six months ended October 31, 2025 was partially offset by a $3.4 million increase in accounts payable due to the timing of inventory purchases as we built our inventory balances higher during our first fiscal quarter, and $2.4 million of increase accrued expenses primarily related to the higher tariff expense imposed on inventory purchases for product manufactured in China.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60" w:firstLine="113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$1.4 million during the six months ended October 31, 2025, a decrease of $217,000 as compared to the prior year comparable period. We expect to spend approximately $4.0 million to $4.5 million of capital expenditures in fiscal 2026, compared to the $3.9 million we spent in fiscal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740" w:firstLine="113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$4.0 million for the six months ended October 31, 2025, primarily from $3.2 million used to repurchase 314,376 shares of our common stock.</w:t>
      </w:r>
    </w:p>
    <w:p>
      <w:pPr>
        <w:spacing w:after="0" w:line="162" w:lineRule="exact"/>
        <w:rPr>
          <w:sz w:val="20"/>
          <w:szCs w:val="20"/>
          <w:color w:val="auto"/>
        </w:rPr>
      </w:pPr>
    </w:p>
    <w:p>
      <w:pPr>
        <w:ind w:firstLine="1134"/>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any acquisitions or strategic investments that we may determine to make, and changes in consumer spending, which is sensitive to economic conditions and other factors.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 had $3.1 million of cash equivalents on hand as of October 31, 2025 and had $23.4 million in cash and cash equivalents on hand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120" w:firstLine="1134"/>
        <w:spacing w:after="0" w:line="25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GAAP requires us to make estimates and assumptions that affect the reported amounts of assets and liabilities at the date of the financial statements and the reported amounts of net sales and expenses during the reporting periods. Significant accounting policies are summarized in Note 2 of the Notes to the consolidated and combined financial statements in our Annual Report on Form 10-K for the fiscal year ended April 30, 2025. Our critical accounting policies are described in Management’s Discussion and Analysis of Financial Condition and Results of Operations in our Annual Report on Form 10-K for the fiscal year ended April 30, 2025, to which there have been no material changes. Actual results could differ from our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620" w:firstLine="1134"/>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There were no material changes from the information provided in Quantitative and Qualitative Disclosures about Market Risk in the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80" w:firstLine="1134"/>
        <w:spacing w:after="0" w:line="255" w:lineRule="auto"/>
        <w:rPr>
          <w:sz w:val="20"/>
          <w:szCs w:val="20"/>
          <w:color w:val="auto"/>
        </w:rPr>
      </w:pPr>
      <w:r>
        <w:rPr>
          <w:rFonts w:ascii="Times New Roman" w:cs="Times New Roman" w:eastAsia="Times New Roman" w:hAnsi="Times New Roman"/>
          <w:sz w:val="18"/>
          <w:szCs w:val="18"/>
          <w:color w:val="auto"/>
        </w:rPr>
        <w:t>As of October 31, 2025, our Chief Executive Officer and Chief Financial Officer evaluated the effectiveness of the design and operation of our disclosure controls and procedures (as defined in Rule 13a-15(e) under the Exchange Act) and have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we file or submit is accumulated and communicated to management, including the Chief Executive Officer and Chief Financial Officer, as appropriate to allow timely decisions regarding required disclosure.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ended October 31,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500" w:firstLine="1134"/>
        <w:spacing w:after="0" w:line="284" w:lineRule="auto"/>
        <w:rPr>
          <w:sz w:val="20"/>
          <w:szCs w:val="20"/>
          <w:color w:val="auto"/>
        </w:rPr>
      </w:pPr>
      <w:r>
        <w:rPr>
          <w:rFonts w:ascii="Times New Roman" w:cs="Times New Roman" w:eastAsia="Times New Roman" w:hAnsi="Times New Roman"/>
          <w:sz w:val="18"/>
          <w:szCs w:val="18"/>
          <w:color w:val="auto"/>
        </w:rPr>
        <w:t xml:space="preserve">The nature of legal proceedings against us is discussed in Note 11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80" w:firstLine="1134"/>
        <w:spacing w:after="0" w:line="266"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filed with the SEC on June 26, 2025, risk factors that materially affect our business, financial condition, or results of operations. There have been no material changes from the risk factors previously disclosed.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180" w:firstLine="1134"/>
        <w:spacing w:after="0" w:line="312" w:lineRule="auto"/>
        <w:rPr>
          <w:sz w:val="20"/>
          <w:szCs w:val="20"/>
          <w:color w:val="auto"/>
        </w:rPr>
      </w:pPr>
      <w:r>
        <w:rPr>
          <w:rFonts w:ascii="Times New Roman" w:cs="Times New Roman" w:eastAsia="Times New Roman" w:hAnsi="Times New Roman"/>
          <w:sz w:val="17"/>
          <w:szCs w:val="17"/>
          <w:color w:val="auto"/>
        </w:rPr>
        <w:t>The following table sets forth certain information relating to the purchases of our common stock by us and any affiliated purchases within the meaning of Rule 10b5-1 of the Exchange Act during the three and six months ended October 31, 2025 (dollars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 of Shares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 Dollar Value</w:t>
            </w: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Total # of</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80" w:type="dxa"/>
            <w:vAlign w:val="bottom"/>
          </w:tcPr>
          <w:p>
            <w:pPr>
              <w:spacing w:after="0"/>
              <w:rPr>
                <w:sz w:val="14"/>
                <w:szCs w:val="14"/>
                <w:color w:val="auto"/>
              </w:rPr>
            </w:pPr>
          </w:p>
        </w:tc>
        <w:tc>
          <w:tcPr>
            <w:tcW w:w="13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Be Purchased</w:t>
            </w: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or</w:t>
            </w:r>
          </w:p>
        </w:tc>
        <w:tc>
          <w:tcPr>
            <w:tcW w:w="180" w:type="dxa"/>
            <w:vAlign w:val="bottom"/>
          </w:tcPr>
          <w:p>
            <w:pPr>
              <w:spacing w:after="0"/>
              <w:rPr>
                <w:sz w:val="15"/>
                <w:szCs w:val="15"/>
                <w:color w:val="auto"/>
              </w:rPr>
            </w:pPr>
          </w:p>
        </w:tc>
        <w:tc>
          <w:tcPr>
            <w:tcW w:w="13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Under the Plan</w:t>
            </w: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 (2)</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 (1)</w:t>
            </w:r>
          </w:p>
        </w:tc>
        <w:tc>
          <w:tcPr>
            <w:tcW w:w="180" w:type="dxa"/>
            <w:vAlign w:val="bottom"/>
          </w:tcPr>
          <w:p>
            <w:pPr>
              <w:spacing w:after="0"/>
              <w:rPr>
                <w:sz w:val="17"/>
                <w:szCs w:val="17"/>
                <w:color w:val="auto"/>
              </w:rPr>
            </w:pPr>
          </w:p>
        </w:tc>
        <w:tc>
          <w:tcPr>
            <w:tcW w:w="13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or Program</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first quarter fiscal year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240,437</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1,304,300</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7"/>
        </w:trPr>
        <w:tc>
          <w:tcPr>
            <w:tcW w:w="49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1, 2025 to August 31, 2025</w:t>
            </w:r>
          </w:p>
        </w:tc>
        <w:tc>
          <w:tcPr>
            <w:tcW w:w="15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2025 to September 30,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5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second quarter fiscal year 2026</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73,939</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1,378,239</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49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year-to-date fiscal year 2026</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314,376</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1,378,239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-565150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-565150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-916305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-916305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1460" w:right="100" w:hanging="318"/>
        <w:spacing w:after="0" w:line="253" w:lineRule="auto"/>
        <w:tabs>
          <w:tab w:leader="none" w:pos="14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 2023, our Board of Directors authorized the repurchase of up to $10.0 million of our common stock, subject to certain conditions in the open market, in block purchases, or in privately negotiated transactions. This authorization expired on September 30, 2024. On September 25, 2024, our Board of Directors approved a program to purchase up to $10.0 million of our common stock, subject to certain conditions, in the open market, in block purchases, or in privately negotiated transactions. This authorization expired on September 30, 2025. On September 30, 2025 our Board of Directors authorized the repurchase of up to $10.0 million of our common stock, subject to certain conditions in the open market, in block purchases, or in privately negotiated transactions, commencing on October 1, 2025 and executable through September 30, 2026. During the three and six months ended October 31, 2025, under these authorizations, we repurchased 73,939 and 314,376 shares of our common stock for $662,000 and $3.2 million utilizing cash on hand. As of October 31, 2025, we have $10.0 million of available funds to repurchase our common stock under the current authorization.</w:t>
      </w:r>
    </w:p>
    <w:p>
      <w:pPr>
        <w:spacing w:after="0" w:line="86"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excludes fees paid to acquire the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740" w:firstLine="1701"/>
        <w:spacing w:after="0" w:line="282" w:lineRule="auto"/>
        <w:rPr>
          <w:sz w:val="20"/>
          <w:szCs w:val="20"/>
          <w:color w:val="auto"/>
        </w:rPr>
      </w:pPr>
      <w:r>
        <w:rPr>
          <w:rFonts w:ascii="Times New Roman" w:cs="Times New Roman" w:eastAsia="Times New Roman" w:hAnsi="Times New Roman"/>
          <w:sz w:val="18"/>
          <w:szCs w:val="18"/>
          <w:color w:val="auto"/>
        </w:rPr>
        <w:t>During the quarter ended October 31, 2025, none of our directors or officers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right="120" w:firstLine="1134"/>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9320" w:type="dxa"/>
            <w:vAlign w:val="bottom"/>
            <w:gridSpan w:val="5"/>
          </w:tcPr>
          <w:p>
            <w:pPr>
              <w:ind w:left="33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45"/>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Executive Officer</w:t>
            </w:r>
          </w:p>
        </w:tc>
      </w:tr>
      <w:tr>
        <w:trPr>
          <w:trHeight w:val="358"/>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49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Principal Financial Officer</w:t>
            </w:r>
          </w:p>
        </w:tc>
        <w:tc>
          <w:tcPr>
            <w:tcW w:w="40" w:type="dxa"/>
            <w:vAlign w:val="bottom"/>
            <w:tcBorders>
              <w:top w:val="single" w:sz="8" w:color="0000FF"/>
            </w:tcBorders>
          </w:tcPr>
          <w:p>
            <w:pPr>
              <w:spacing w:after="0"/>
              <w:rPr>
                <w:sz w:val="24"/>
                <w:szCs w:val="24"/>
                <w:color w:val="auto"/>
              </w:rPr>
            </w:pPr>
          </w:p>
        </w:tc>
        <w:tc>
          <w:tcPr>
            <w:tcW w:w="4320" w:type="dxa"/>
            <w:vAlign w:val="bottom"/>
          </w:tcPr>
          <w:p>
            <w:pPr>
              <w:spacing w:after="0"/>
              <w:rPr>
                <w:sz w:val="24"/>
                <w:szCs w:val="24"/>
                <w:color w:val="auto"/>
              </w:rPr>
            </w:pPr>
          </w:p>
        </w:tc>
      </w:tr>
      <w:tr>
        <w:trPr>
          <w:trHeight w:val="358"/>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4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Executive Officer</w:t>
            </w:r>
          </w:p>
        </w:tc>
        <w:tc>
          <w:tcPr>
            <w:tcW w:w="5200" w:type="dxa"/>
            <w:vAlign w:val="bottom"/>
            <w:gridSpan w:val="3"/>
          </w:tcPr>
          <w:p>
            <w:pPr>
              <w:spacing w:after="0"/>
              <w:rPr>
                <w:sz w:val="24"/>
                <w:szCs w:val="24"/>
                <w:color w:val="auto"/>
              </w:rPr>
            </w:pPr>
          </w:p>
        </w:tc>
      </w:tr>
      <w:tr>
        <w:trPr>
          <w:trHeight w:val="358"/>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Financial Officer</w:t>
            </w:r>
          </w:p>
        </w:tc>
      </w:tr>
      <w:tr>
        <w:trPr>
          <w:trHeight w:val="20"/>
        </w:trPr>
        <w:tc>
          <w:tcPr>
            <w:tcW w:w="140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r>
      <w:tr>
        <w:trPr>
          <w:trHeight w:val="38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1400" w:type="dxa"/>
            <w:vAlign w:val="bottom"/>
          </w:tcPr>
          <w:p>
            <w:pPr>
              <w:spacing w:after="0"/>
              <w:rPr>
                <w:sz w:val="20"/>
                <w:szCs w:val="20"/>
                <w:color w:val="auto"/>
              </w:rPr>
            </w:pP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7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44" w:lineRule="exact"/>
        <w:rPr>
          <w:sz w:val="20"/>
          <w:szCs w:val="20"/>
          <w:color w:val="auto"/>
        </w:rPr>
      </w:pPr>
    </w:p>
    <w:p>
      <w:pPr>
        <w:ind w:left="1420" w:hanging="1394"/>
        <w:spacing w:after="0" w:line="282" w:lineRule="auto"/>
        <w:tabs>
          <w:tab w:leader="none" w:pos="1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75"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7" w:right="6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AMERICAN OUTDOOR BRANDS, INC.,</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13"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35560</wp:posOffset>
            </wp:positionV>
            <wp:extent cx="32486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Brian D. Murphy</w:t>
      </w:r>
    </w:p>
    <w:p>
      <w:pPr>
        <w:spacing w:after="0" w:line="6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33"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35560</wp:posOffset>
            </wp:positionV>
            <wp:extent cx="32486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H. Andrew Fulmer</w:t>
      </w:r>
    </w:p>
    <w:p>
      <w:pPr>
        <w:spacing w:after="0" w:line="6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2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320" w:top="117" w:right="4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D. Murphy, certify that:</w:t>
      </w:r>
    </w:p>
    <w:p>
      <w:pPr>
        <w:spacing w:after="0" w:line="225" w:lineRule="exact"/>
        <w:rPr>
          <w:sz w:val="20"/>
          <w:szCs w:val="20"/>
          <w:color w:val="auto"/>
        </w:rPr>
      </w:pPr>
    </w:p>
    <w:p>
      <w:pPr>
        <w:ind w:left="1140" w:hanging="113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Outdoor Brands,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76"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2280" w:right="20" w:hanging="1138"/>
        <w:spacing w:after="0" w:line="266" w:lineRule="auto"/>
        <w:tabs>
          <w:tab w:leader="none" w:pos="2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35560</wp:posOffset>
            </wp:positionV>
            <wp:extent cx="31718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Brian D. Murphy</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73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Andrew Fulmer, certify that:</w:t>
      </w:r>
    </w:p>
    <w:p>
      <w:pPr>
        <w:spacing w:after="0" w:line="225" w:lineRule="exact"/>
        <w:rPr>
          <w:sz w:val="20"/>
          <w:szCs w:val="20"/>
          <w:color w:val="auto"/>
        </w:rPr>
      </w:pPr>
    </w:p>
    <w:p>
      <w:pPr>
        <w:ind w:left="1140" w:hanging="113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Outdoor Brands,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76"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2280" w:right="20" w:hanging="1138"/>
        <w:spacing w:after="0" w:line="266" w:lineRule="auto"/>
        <w:tabs>
          <w:tab w:leader="none" w:pos="22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35560</wp:posOffset>
            </wp:positionV>
            <wp:extent cx="31718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H. Andrew Fulmer</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ectPr>
          <w:pgSz w:w="11900" w:h="16838" w:orient="portrait"/>
          <w:cols w:equalWidth="0" w:num="1">
            <w:col w:w="11240"/>
          </w:cols>
          <w:pgMar w:left="320" w:top="57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3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American Outdoor Brands, Inc. (the “Company”) on Form 10-Q for the period ended October 31, 2025 as filed with the Securities and Exchange Commission on the date hereof (the “Report”), I, Brian D. Murphy, the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2260" w:hanging="1118"/>
        <w:spacing w:after="0"/>
        <w:tabs>
          <w:tab w:leader="none" w:pos="2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35560</wp:posOffset>
            </wp:positionV>
            <wp:extent cx="31718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Brian D. Murphy</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14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firstLine="113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American Outdoor Brands, Inc. (the “Company”) on Form 10-Q for the period ended October 31, 2025 as filed with the Securities and Exchange Commission on the date hereof (the “Report”), I, H. Andrew Fulmer, the Executive Vice President, Chief Financial Officer, and Treasurer of the Company, certify, pursuant to 18 U.S.C. § 1350, as adopted pursuant to § 906 of the Sarbanes-Oxley Act of 2002, that:</w:t>
      </w:r>
    </w:p>
    <w:p>
      <w:pPr>
        <w:spacing w:after="0" w:line="180" w:lineRule="exact"/>
        <w:rPr>
          <w:sz w:val="20"/>
          <w:szCs w:val="20"/>
          <w:color w:val="auto"/>
        </w:rPr>
      </w:pPr>
    </w:p>
    <w:p>
      <w:pPr>
        <w:ind w:left="2260" w:hanging="1118"/>
        <w:spacing w:after="0"/>
        <w:tabs>
          <w:tab w:leader="none" w:pos="2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35560</wp:posOffset>
            </wp:positionV>
            <wp:extent cx="31718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H. Andrew Fulmer</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3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lvl w:ilvl="1">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2025-12-09T16:26:48Z</dcterms:created>
  <dcterms:modified xsi:type="dcterms:W3CDTF">2025-12-09T16:26:48Z</dcterms:modified>
</cp:coreProperties>
</file>